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家具采购评审细则</w:t>
      </w:r>
    </w:p>
    <w:tbl>
      <w:tblPr>
        <w:tblStyle w:val="3"/>
        <w:tblpPr w:leftFromText="180" w:rightFromText="180" w:vertAnchor="text" w:horzAnchor="margin" w:tblpXSpec="center" w:tblpY="128"/>
        <w:tblOverlap w:val="never"/>
        <w:tblW w:w="10436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896"/>
        <w:gridCol w:w="746"/>
        <w:gridCol w:w="6011"/>
        <w:gridCol w:w="102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评分内容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分值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评分标准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综合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实力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根据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参选人或参选品牌生产商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经营能力、综合实力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等视情况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0.5-2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分。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自动化生产设备具有计算机软件注册权登记证书的每提供一项得2分，最多得6分。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参选人或参选品牌生产商提供202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年和202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年年度审计报告，参选人财务状况良好，得3分，不提供不得分。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参选人或生产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企业认证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分）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参选人或参选品牌生产商具有ISO9001质量体系认证且有效的，得2分；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参选人或参选品牌生产商具有ISO14001环境管理体系认证且有效的，得2分；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具有职业健康安全管理体系认证且有效的，得2分；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服务能力达到GB/T27922-2011标准规定的五星级要求的且有效的，得2分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相关业绩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（6分）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参选人或参选品牌生产商近三年（20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年1月1日以来）承接过办公家具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且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合同金额在20万及以上，每提供一个得2分，最多得6分。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合理化建议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（1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分）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根据参选人提供建议的合理性，如家具样式、色调、装修风格等进行综合评审，视情况得0-1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分。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质量及服务承诺（20分）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参选人或参选品牌生产商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能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提供原材料商（尤其是板材）相关质检报告、环保标准；提供服务管理师相关证明；参选人本地化服务能力等进行综合评估：视情况得0-20分。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商务报价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（40分）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OLE_LINK1"/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6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评标基准价为每家报价的算术平均值。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1.报价不低于评标基准价的50%的费用报价计算得分=（评标基准价／投标报价）×0.4×100，满分40分。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 投标价低于评标基准价的50%（含）的，费用报价得0分。</w:t>
            </w:r>
            <w:bookmarkEnd w:id="0"/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NmZlN2RjNDFjNjUxMmE1ZDVlZGNjNTVhNzdmOTMifQ=="/>
  </w:docVars>
  <w:rsids>
    <w:rsidRoot w:val="00000000"/>
    <w:rsid w:val="09FD7625"/>
    <w:rsid w:val="0AA27296"/>
    <w:rsid w:val="0DE72069"/>
    <w:rsid w:val="0F2F1616"/>
    <w:rsid w:val="11793D73"/>
    <w:rsid w:val="11A80459"/>
    <w:rsid w:val="176F60B9"/>
    <w:rsid w:val="21766552"/>
    <w:rsid w:val="2FD3521D"/>
    <w:rsid w:val="2FFE36E8"/>
    <w:rsid w:val="34F45995"/>
    <w:rsid w:val="39E7202A"/>
    <w:rsid w:val="3C1A5FAA"/>
    <w:rsid w:val="3FC133CD"/>
    <w:rsid w:val="46695B1B"/>
    <w:rsid w:val="472F36CE"/>
    <w:rsid w:val="68FC241E"/>
    <w:rsid w:val="69A2485A"/>
    <w:rsid w:val="705B47A3"/>
    <w:rsid w:val="736E4E6C"/>
    <w:rsid w:val="74115093"/>
    <w:rsid w:val="74FB14EA"/>
    <w:rsid w:val="7FD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79" w:lineRule="exact"/>
      <w:ind w:left="0" w:leftChar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Grid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597</Characters>
  <Lines>0</Lines>
  <Paragraphs>0</Paragraphs>
  <TotalTime>2</TotalTime>
  <ScaleCrop>false</ScaleCrop>
  <LinksUpToDate>false</LinksUpToDate>
  <CharactersWithSpaces>597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97122</dc:creator>
  <cp:lastModifiedBy>李宇昕</cp:lastModifiedBy>
  <cp:lastPrinted>2023-05-18T02:32:00Z</cp:lastPrinted>
  <dcterms:modified xsi:type="dcterms:W3CDTF">2024-02-20T07:50:23Z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eyJoZGlkIjoiNjYzNzI5YzViYzkwZTYzYzkwODUxZDBhMDdhZWM4ODkifQ==</vt:lpwstr>
  </property>
  <property fmtid="{D5CDD505-2E9C-101B-9397-08002B2CF9AE}" pid="4" name="ICV">
    <vt:lpwstr>6DBF89592DBD4EC28A6F86F50BD24177</vt:lpwstr>
  </property>
</Properties>
</file>