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常年法律顾问</w:t>
      </w:r>
      <w:bookmarkStart w:id="34" w:name="_GoBack"/>
      <w:bookmarkEnd w:id="34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评分细则</w:t>
      </w:r>
    </w:p>
    <w:p>
      <w:pPr>
        <w:spacing w:line="500" w:lineRule="exact"/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709"/>
        <w:gridCol w:w="373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满分</w:t>
            </w:r>
          </w:p>
        </w:tc>
        <w:tc>
          <w:tcPr>
            <w:tcW w:w="37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费用报价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年服务费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取有效报价的算数平均值为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基准值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等于基准值的报价得分为20分；报价与基准值相比，每低于基准值1%，扣0.1分；每高于基准值1%，扣0.2分。最低得分0分，不足1%采用四舍五入取整计算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顾问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团队资质及业绩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hint="eastAsia" w:ascii="楷体" w:hAnsi="楷体" w:eastAsia="楷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团队负责人律师执业10年以上得4分，5-10年得2分，5年以下得1分；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团队负责人律师具有高级职称得4分，中级职称得2分，初级职称得1分（以司法行政机关、律师行业协会颁发为准）。</w:t>
            </w:r>
          </w:p>
          <w:p>
            <w:pPr>
              <w:pStyle w:val="4"/>
              <w:numPr>
                <w:ilvl w:val="-1"/>
                <w:numId w:val="0"/>
              </w:numPr>
              <w:snapToGrid w:val="0"/>
              <w:spacing w:line="240" w:lineRule="auto"/>
              <w:jc w:val="both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两项合计满分8分。</w:t>
            </w: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</w:rPr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（2）近3年（自2020年1月1日起算）为类金融业务（担保、小额贷款、融资租赁、保理等）提供过服务的，每提供一个案例得2分，最高得8分。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color w:val="auto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color w:val="auto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color w:val="auto"/>
              </w:rPr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（3）近3年（自2020年1月1日起算）为公司上市、股权投资业务提供过服务的，每提供一个案例得2分，最高得8分。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（4）近3年（自2020年1月1日起算）为基金管理业务提供过服务，每提供一个案例得2分，最高得8分。</w:t>
            </w: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（5）近3年（自2020年1月1日起算）为企业合规建设项目提供过服务，每提供一个案例得2分，最高得8分。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ind w:leftChars="0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法律服务方案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根据服务方案的全面性、合理性、可操作性，以及是否包括增值服务内容和服务质量的保障措施等综合评审，好：31-40分，较好：16-30分，差：0-15分</w:t>
            </w: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100</w:t>
            </w:r>
          </w:p>
        </w:tc>
        <w:tc>
          <w:tcPr>
            <w:tcW w:w="3732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rPr>
                <w:rFonts w:ascii="楷体" w:hAnsi="楷体" w:eastAsia="楷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jc w:val="both"/>
        <w:rPr>
          <w:rFonts w:hint="eastAsia" w:ascii="Times New Roman" w:hAnsi="Times New Roman" w:eastAsia="仿宋_GB2312" w:cs="Times New Roman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仿宋_GB2312" w:cs="Times New Roman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附件二：材料清单</w:t>
      </w:r>
    </w:p>
    <w:p>
      <w:pPr>
        <w:pStyle w:val="2"/>
        <w:jc w:val="center"/>
        <w:rPr>
          <w:color w:val="auto"/>
          <w:highlight w:val="none"/>
        </w:rPr>
      </w:pPr>
      <w:bookmarkStart w:id="0" w:name="_Toc19775"/>
      <w:bookmarkStart w:id="1" w:name="_Toc21895"/>
      <w:bookmarkStart w:id="2" w:name="_Toc13916"/>
      <w:bookmarkStart w:id="3" w:name="_Toc26473"/>
      <w:bookmarkStart w:id="4" w:name="_Toc19654"/>
      <w:bookmarkStart w:id="5" w:name="_Toc14765"/>
      <w:bookmarkStart w:id="6" w:name="_Toc20490"/>
      <w:bookmarkStart w:id="7" w:name="_Toc16988"/>
      <w:bookmarkStart w:id="8" w:name="_Toc23372"/>
      <w:bookmarkStart w:id="9" w:name="_Toc1522"/>
      <w:bookmarkStart w:id="10" w:name="_Toc5168"/>
      <w:r>
        <w:rPr>
          <w:rFonts w:hint="eastAsia"/>
          <w:color w:val="auto"/>
          <w:highlight w:val="none"/>
        </w:rPr>
        <w:t>授权委托书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spacing w:line="360" w:lineRule="auto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本人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（姓名）系 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名称）的法定代表人（负责人），现委托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（姓名）为我方代理人。代理人根据授权，以我方名义签署、澄清确认、递交、撤回、修改本项目文件、签订合同和处理有关事宜，其法律后果由我方承担。</w:t>
      </w:r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委托期限：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。</w:t>
      </w:r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委托代理人无转委托权。</w:t>
      </w:r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附：法定代表人（负责人）身份证明及委托代理人身份证扫描件；</w:t>
      </w:r>
    </w:p>
    <w:p>
      <w:pPr>
        <w:pStyle w:val="3"/>
        <w:spacing w:after="0" w:line="360" w:lineRule="auto"/>
        <w:ind w:firstLine="422" w:firstLineChars="200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身份证扫描件须保证清晰并附正面、反面。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pStyle w:val="3"/>
              <w:spacing w:after="0"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委托代理人身份证扫描件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4261" w:type="dxa"/>
          </w:tcPr>
          <w:p>
            <w:pPr>
              <w:pStyle w:val="3"/>
              <w:spacing w:after="0" w:line="360" w:lineRule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正面：</w:t>
            </w:r>
          </w:p>
        </w:tc>
        <w:tc>
          <w:tcPr>
            <w:tcW w:w="4261" w:type="dxa"/>
          </w:tcPr>
          <w:p>
            <w:pPr>
              <w:pStyle w:val="3"/>
              <w:spacing w:after="0" w:line="360" w:lineRule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反面：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注：本授权委托书须由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加盖单位公章并由其法定代表人（负责人）和委托代理人签字。</w:t>
      </w:r>
    </w:p>
    <w:p>
      <w:pPr>
        <w:spacing w:line="360" w:lineRule="auto"/>
        <w:ind w:firstLine="4418" w:firstLineChars="2104"/>
        <w:rPr>
          <w:rFonts w:ascii="宋体" w:hAnsi="宋体" w:cs="宋体"/>
          <w:color w:val="auto"/>
          <w:szCs w:val="21"/>
          <w:highlight w:val="none"/>
        </w:rPr>
      </w:pPr>
    </w:p>
    <w:p>
      <w:pPr>
        <w:spacing w:line="360" w:lineRule="auto"/>
        <w:jc w:val="righ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        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（盖公章）</w:t>
      </w:r>
    </w:p>
    <w:p>
      <w:pPr>
        <w:spacing w:line="360" w:lineRule="auto"/>
        <w:jc w:val="right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法定代表人（负责人）：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（签字或盖章）</w:t>
      </w:r>
    </w:p>
    <w:p>
      <w:pPr>
        <w:spacing w:line="360" w:lineRule="auto"/>
        <w:ind w:firstLine="4418" w:firstLineChars="2104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委托代理人：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（签字或盖章）</w:t>
      </w:r>
    </w:p>
    <w:p>
      <w:pPr>
        <w:spacing w:line="360" w:lineRule="auto"/>
        <w:ind w:firstLine="4418" w:firstLineChars="2104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pStyle w:val="7"/>
        <w:ind w:left="5250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pStyle w:val="9"/>
        <w:rPr>
          <w:color w:val="auto"/>
        </w:rPr>
      </w:pPr>
    </w:p>
    <w:p>
      <w:pPr>
        <w:pStyle w:val="2"/>
        <w:jc w:val="center"/>
        <w:rPr>
          <w:rFonts w:hint="eastAsia"/>
          <w:color w:val="auto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1" w:name="_Toc5874"/>
      <w:bookmarkStart w:id="12" w:name="_Toc18800"/>
      <w:bookmarkStart w:id="13" w:name="_Toc20149"/>
      <w:bookmarkStart w:id="14" w:name="_Toc22669"/>
      <w:bookmarkStart w:id="15" w:name="_Toc5885"/>
      <w:bookmarkStart w:id="16" w:name="_Toc30124"/>
      <w:bookmarkStart w:id="17" w:name="_Toc21366"/>
      <w:bookmarkStart w:id="18" w:name="_Toc7197"/>
      <w:bookmarkStart w:id="19" w:name="_Toc8547"/>
      <w:bookmarkStart w:id="20" w:name="_Toc16516"/>
      <w:bookmarkStart w:id="21" w:name="_Toc28503"/>
      <w:bookmarkStart w:id="22" w:name="_Toc16040"/>
      <w:bookmarkStart w:id="23" w:name="_Toc6121"/>
    </w:p>
    <w:p>
      <w:pPr>
        <w:pStyle w:val="2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法定代表人（负责人）身份证明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名称：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      </w:t>
      </w:r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姓名：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性别：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年龄：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Cs w:val="21"/>
          <w:highlight w:val="none"/>
        </w:rPr>
        <w:t>职务：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</w:t>
      </w:r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系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名称）的法定代表人（负责人）。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特此证明。</w:t>
      </w:r>
    </w:p>
    <w:p>
      <w:pPr>
        <w:spacing w:line="360" w:lineRule="auto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附：法定代表人（负责人）身份证扫描件</w:t>
      </w:r>
    </w:p>
    <w:tbl>
      <w:tblPr>
        <w:tblStyle w:val="11"/>
        <w:tblW w:w="0" w:type="auto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3"/>
              <w:spacing w:after="0" w:line="36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法定代表人（负责人）身份证扫描件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4261" w:type="dxa"/>
          </w:tcPr>
          <w:p>
            <w:pPr>
              <w:pStyle w:val="3"/>
              <w:spacing w:after="0" w:line="360" w:lineRule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正面：</w:t>
            </w:r>
          </w:p>
        </w:tc>
        <w:tc>
          <w:tcPr>
            <w:tcW w:w="4261" w:type="dxa"/>
          </w:tcPr>
          <w:p>
            <w:pPr>
              <w:pStyle w:val="3"/>
              <w:spacing w:after="0" w:line="360" w:lineRule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反面：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注：本身份证明须由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加盖单位公章。身份证扫描件须保证清晰并附正面、反面。</w:t>
      </w:r>
    </w:p>
    <w:p>
      <w:pPr>
        <w:spacing w:line="360" w:lineRule="auto"/>
        <w:rPr>
          <w:rFonts w:ascii="宋体" w:hAnsi="宋体" w:cs="宋体"/>
          <w:color w:val="auto"/>
          <w:sz w:val="24"/>
          <w:szCs w:val="24"/>
          <w:highlight w:val="none"/>
        </w:rPr>
      </w:pPr>
    </w:p>
    <w:p>
      <w:pPr>
        <w:spacing w:line="360" w:lineRule="auto"/>
        <w:ind w:right="280" w:firstLine="4838" w:firstLineChars="2304"/>
        <w:jc w:val="left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（盖公章）</w:t>
      </w:r>
    </w:p>
    <w:p>
      <w:pPr>
        <w:spacing w:line="360" w:lineRule="auto"/>
        <w:ind w:right="560" w:firstLine="4838" w:firstLineChars="2304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pStyle w:val="2"/>
        <w:jc w:val="center"/>
        <w:rPr>
          <w:rFonts w:hint="eastAsia"/>
          <w:color w:val="auto"/>
          <w:highlight w:val="none"/>
        </w:rPr>
      </w:pPr>
      <w:bookmarkStart w:id="24" w:name="_Toc27199"/>
      <w:bookmarkStart w:id="25" w:name="_Toc27723"/>
      <w:bookmarkStart w:id="26" w:name="_Toc12042"/>
      <w:bookmarkStart w:id="27" w:name="_Toc13284"/>
      <w:bookmarkStart w:id="28" w:name="_Toc11849"/>
      <w:bookmarkStart w:id="29" w:name="_Toc22448"/>
      <w:bookmarkStart w:id="30" w:name="_Toc18470"/>
      <w:bookmarkStart w:id="31" w:name="_Toc10077"/>
      <w:bookmarkStart w:id="32" w:name="_Toc7360"/>
      <w:bookmarkStart w:id="33" w:name="_Toc31184"/>
    </w:p>
    <w:p>
      <w:pPr>
        <w:pStyle w:val="2"/>
        <w:jc w:val="center"/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pStyle w:val="9"/>
        <w:rPr>
          <w:rFonts w:hint="eastAsia"/>
          <w:color w:val="auto"/>
        </w:rPr>
      </w:pPr>
    </w:p>
    <w:p>
      <w:pPr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2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报价书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spacing w:line="360" w:lineRule="auto"/>
        <w:ind w:firstLine="435"/>
        <w:jc w:val="center"/>
        <w:rPr>
          <w:rFonts w:ascii="宋体" w:hAnsi="宋体" w:cs="宋体"/>
          <w:b/>
          <w:color w:val="auto"/>
          <w:sz w:val="24"/>
          <w:szCs w:val="20"/>
          <w:highlight w:val="none"/>
        </w:rPr>
      </w:pPr>
    </w:p>
    <w:tbl>
      <w:tblPr>
        <w:tblStyle w:val="10"/>
        <w:tblW w:w="4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54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3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bidi="ar"/>
              </w:rPr>
              <w:t>服务内容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bidi="ar"/>
              </w:rPr>
              <w:t>元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val="en-US" w:eastAsia="zh-CN" w:bidi="ar"/>
              </w:rPr>
              <w:t>/年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335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安徽国控资本有限公司常年法律顾问项目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8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val="en-US" w:eastAsia="zh-CN" w:bidi="ar"/>
              </w:rPr>
              <w:t>元/年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9"/>
        <w:ind w:left="0" w:leftChars="0" w:firstLine="0" w:firstLineChars="0"/>
        <w:rPr>
          <w:color w:val="auto"/>
        </w:rPr>
      </w:pPr>
    </w:p>
    <w:p>
      <w:pPr>
        <w:pStyle w:val="13"/>
        <w:spacing w:line="360" w:lineRule="auto"/>
        <w:ind w:firstLine="0" w:firstLineChars="0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spacing w:line="360" w:lineRule="auto"/>
        <w:ind w:right="280" w:firstLine="4838" w:firstLineChars="2304"/>
        <w:jc w:val="left"/>
        <w:rPr>
          <w:rFonts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服务商</w:t>
      </w:r>
      <w:r>
        <w:rPr>
          <w:rFonts w:hint="eastAsia" w:ascii="宋体" w:hAnsi="宋体" w:cs="宋体"/>
          <w:color w:val="auto"/>
          <w:szCs w:val="21"/>
          <w:highlight w:val="none"/>
        </w:rPr>
        <w:t>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（盖公章）</w:t>
      </w:r>
    </w:p>
    <w:p>
      <w:pPr>
        <w:spacing w:line="360" w:lineRule="auto"/>
        <w:ind w:right="560" w:firstLine="4838" w:firstLineChars="2304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pStyle w:val="1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643" w:firstLineChars="200"/>
        <w:jc w:val="center"/>
        <w:rPr>
          <w:rFonts w:hint="eastAsia" w:ascii="Arial" w:hAnsi="Arial" w:eastAsia="黑体" w:cstheme="minorBidi"/>
          <w:b/>
          <w:bCs w:val="0"/>
          <w:color w:val="auto"/>
          <w:sz w:val="32"/>
          <w:szCs w:val="20"/>
          <w:highlight w:val="none"/>
          <w:lang w:val="en-US" w:eastAsia="zh-CN"/>
        </w:rPr>
      </w:pPr>
      <w:r>
        <w:rPr>
          <w:rFonts w:hint="eastAsia" w:ascii="Arial" w:hAnsi="Arial" w:eastAsia="黑体" w:cstheme="minorBidi"/>
          <w:b/>
          <w:bCs w:val="0"/>
          <w:color w:val="auto"/>
          <w:sz w:val="32"/>
          <w:szCs w:val="20"/>
          <w:highlight w:val="none"/>
          <w:lang w:val="en-US" w:eastAsia="zh-CN"/>
        </w:rPr>
        <w:t>其他</w:t>
      </w:r>
    </w:p>
    <w:p>
      <w:pPr>
        <w:pStyle w:val="1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1、服务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团队配置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团队人员名册、履历（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格式自拟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后附相关社保、证书及相关承诺等证明材料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1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2、服务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团队实力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律师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资质、团队业绩等证明材料）；</w:t>
      </w:r>
    </w:p>
    <w:p>
      <w:pPr>
        <w:pStyle w:val="1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3、服务商无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行政处罚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行业处分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证明；</w:t>
      </w:r>
    </w:p>
    <w:p>
      <w:pPr>
        <w:pStyle w:val="1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服务方案（格式自拟）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8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7EE6"/>
    <w:multiLevelType w:val="singleLevel"/>
    <w:tmpl w:val="484C7EE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27960"/>
    <w:rsid w:val="4D5E01FA"/>
    <w:rsid w:val="58B50A47"/>
    <w:rsid w:val="7D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40" w:after="40" w:line="360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Times New Roman" w:hAnsi="Times New Roman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6">
    <w:name w:val="envelope return"/>
    <w:basedOn w:val="1"/>
    <w:semiHidden/>
    <w:qFormat/>
    <w:uiPriority w:val="99"/>
    <w:pPr>
      <w:snapToGrid w:val="0"/>
    </w:pPr>
    <w:rPr>
      <w:rFonts w:ascii="Arial" w:hAnsi="Arial" w:cs="Arial"/>
    </w:rPr>
  </w:style>
  <w:style w:type="paragraph" w:styleId="7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8">
    <w:name w:val="Body Text First Indent"/>
    <w:basedOn w:val="3"/>
    <w:qFormat/>
    <w:uiPriority w:val="0"/>
    <w:pPr>
      <w:spacing w:line="312" w:lineRule="auto"/>
      <w:ind w:firstLine="420"/>
    </w:pPr>
    <w:rPr>
      <w:szCs w:val="24"/>
    </w:rPr>
  </w:style>
  <w:style w:type="paragraph" w:styleId="9">
    <w:name w:val="Body Text First Indent 2"/>
    <w:basedOn w:val="5"/>
    <w:next w:val="8"/>
    <w:unhideWhenUsed/>
    <w:qFormat/>
    <w:uiPriority w:val="99"/>
    <w:pPr>
      <w:ind w:firstLine="200"/>
    </w:pPr>
    <w:rPr>
      <w:rFonts w:hint="eastAsia"/>
      <w:szCs w:val="44"/>
    </w:rPr>
  </w:style>
  <w:style w:type="table" w:styleId="11">
    <w:name w:val="Table Grid"/>
    <w:basedOn w:val="10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unhideWhenUsed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2023-09-28T03:50:00Z</dcterms:created>
  <dc:creator>WF</dc:creator>
  <cp:lastModifiedBy>WF</cp:lastModifiedBy>
  <dcterms:modified xsi:type="dcterms:W3CDTF">2023-09-28T03:51:26Z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