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rPr>
          <w:rFonts w:hint="eastAsia"/>
        </w:rPr>
      </w:pPr>
      <w:r>
        <w:rPr>
          <w:rFonts w:hint="eastAsia"/>
        </w:rPr>
        <w:t>安徽国控投资有限公司2022年</w:t>
      </w:r>
    </w:p>
    <w:p>
      <w:pPr>
        <w:pStyle w:val="15"/>
        <w:ind w:firstLine="0" w:firstLineChars="0"/>
      </w:pPr>
      <w:r>
        <w:rPr>
          <w:rFonts w:hint="eastAsia"/>
          <w:lang w:val="en-US" w:eastAsia="zh-CN"/>
        </w:rPr>
        <w:t>新媒体运营</w:t>
      </w:r>
      <w:r>
        <w:rPr>
          <w:rFonts w:hint="eastAsia"/>
        </w:rPr>
        <w:t>询比评分细则</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181"/>
        <w:gridCol w:w="756"/>
        <w:gridCol w:w="505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400" w:lineRule="exact"/>
              <w:ind w:firstLine="0" w:firstLineChars="0"/>
              <w:jc w:val="center"/>
              <w:rPr>
                <w:rFonts w:ascii="黑体" w:hAnsi="黑体" w:eastAsia="黑体" w:cs="黑体"/>
              </w:rPr>
            </w:pPr>
            <w:r>
              <w:rPr>
                <w:rFonts w:hint="eastAsia" w:ascii="黑体" w:hAnsi="黑体" w:eastAsia="黑体" w:cs="黑体"/>
                <w:sz w:val="24"/>
              </w:rPr>
              <w:t>序号</w:t>
            </w:r>
          </w:p>
        </w:tc>
        <w:tc>
          <w:tcPr>
            <w:tcW w:w="1181" w:type="dxa"/>
            <w:vAlign w:val="center"/>
          </w:tcPr>
          <w:p>
            <w:pPr>
              <w:spacing w:line="400" w:lineRule="exact"/>
              <w:ind w:firstLine="0" w:firstLineChars="0"/>
              <w:jc w:val="center"/>
              <w:rPr>
                <w:rFonts w:ascii="黑体" w:hAnsi="黑体" w:eastAsia="黑体" w:cs="黑体"/>
              </w:rPr>
            </w:pPr>
            <w:r>
              <w:rPr>
                <w:rFonts w:hint="eastAsia" w:ascii="黑体" w:hAnsi="黑体" w:eastAsia="黑体" w:cs="黑体"/>
                <w:sz w:val="24"/>
              </w:rPr>
              <w:t>评分内容</w:t>
            </w:r>
          </w:p>
        </w:tc>
        <w:tc>
          <w:tcPr>
            <w:tcW w:w="756" w:type="dxa"/>
            <w:vAlign w:val="center"/>
          </w:tcPr>
          <w:p>
            <w:pPr>
              <w:spacing w:line="400" w:lineRule="exact"/>
              <w:ind w:firstLine="0" w:firstLineChars="0"/>
              <w:jc w:val="center"/>
              <w:rPr>
                <w:rFonts w:ascii="黑体" w:hAnsi="黑体" w:eastAsia="黑体" w:cs="黑体"/>
              </w:rPr>
            </w:pPr>
            <w:r>
              <w:rPr>
                <w:rFonts w:hint="eastAsia" w:ascii="黑体" w:hAnsi="黑体" w:eastAsia="黑体" w:cs="黑体"/>
                <w:sz w:val="24"/>
              </w:rPr>
              <w:t>分值</w:t>
            </w:r>
          </w:p>
        </w:tc>
        <w:tc>
          <w:tcPr>
            <w:tcW w:w="5054" w:type="dxa"/>
            <w:vAlign w:val="center"/>
          </w:tcPr>
          <w:p>
            <w:pPr>
              <w:spacing w:line="400" w:lineRule="exact"/>
              <w:ind w:firstLine="0" w:firstLineChars="0"/>
              <w:jc w:val="center"/>
              <w:rPr>
                <w:rFonts w:ascii="黑体" w:hAnsi="黑体" w:eastAsia="黑体" w:cs="黑体"/>
              </w:rPr>
            </w:pPr>
            <w:r>
              <w:rPr>
                <w:rFonts w:hint="eastAsia" w:ascii="黑体" w:hAnsi="黑体" w:eastAsia="黑体" w:cs="黑体"/>
                <w:sz w:val="24"/>
              </w:rPr>
              <w:t>评分标准</w:t>
            </w:r>
          </w:p>
        </w:tc>
        <w:tc>
          <w:tcPr>
            <w:tcW w:w="787" w:type="dxa"/>
            <w:vAlign w:val="center"/>
          </w:tcPr>
          <w:p>
            <w:pPr>
              <w:spacing w:line="400" w:lineRule="exact"/>
              <w:ind w:firstLine="0" w:firstLineChars="0"/>
              <w:jc w:val="center"/>
              <w:rPr>
                <w:rFonts w:ascii="黑体" w:hAnsi="黑体" w:eastAsia="黑体" w:cs="黑体"/>
              </w:rPr>
            </w:pPr>
            <w:r>
              <w:rPr>
                <w:rFonts w:hint="eastAsia" w:ascii="黑体" w:hAnsi="黑体" w:eastAsia="黑体" w:cs="黑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744"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1</w:t>
            </w:r>
          </w:p>
        </w:tc>
        <w:tc>
          <w:tcPr>
            <w:tcW w:w="1181" w:type="dxa"/>
            <w:vAlign w:val="center"/>
          </w:tcPr>
          <w:p>
            <w:pPr>
              <w:spacing w:line="360" w:lineRule="exact"/>
              <w:ind w:firstLine="0" w:firstLineChars="0"/>
              <w:rPr>
                <w:rFonts w:ascii="仿宋_GB2312" w:hAnsi="仿宋_GB2312" w:cs="仿宋_GB2312"/>
                <w:sz w:val="24"/>
              </w:rPr>
            </w:pPr>
            <w:r>
              <w:rPr>
                <w:rFonts w:hint="eastAsia" w:ascii="仿宋_GB2312" w:hAnsi="仿宋_GB2312" w:cs="仿宋_GB2312"/>
                <w:sz w:val="24"/>
              </w:rPr>
              <w:t xml:space="preserve">费用报价        </w:t>
            </w:r>
          </w:p>
        </w:tc>
        <w:tc>
          <w:tcPr>
            <w:tcW w:w="756"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15</w:t>
            </w:r>
          </w:p>
        </w:tc>
        <w:tc>
          <w:tcPr>
            <w:tcW w:w="5054" w:type="dxa"/>
            <w:vAlign w:val="center"/>
          </w:tcPr>
          <w:p>
            <w:pPr>
              <w:spacing w:line="340" w:lineRule="exact"/>
              <w:ind w:firstLine="0" w:firstLineChars="0"/>
              <w:rPr>
                <w:rFonts w:ascii="仿宋_GB2312" w:hAnsi="仿宋_GB2312" w:cs="仿宋_GB2312"/>
                <w:sz w:val="24"/>
              </w:rPr>
            </w:pPr>
            <w:r>
              <w:rPr>
                <w:rFonts w:hint="eastAsia" w:ascii="仿宋_GB2312" w:hAnsi="仿宋_GB2312" w:cs="仿宋_GB2312"/>
                <w:sz w:val="24"/>
              </w:rPr>
              <w:t>评标基准价为每家报价的算术平均值。</w:t>
            </w:r>
          </w:p>
          <w:p>
            <w:pPr>
              <w:spacing w:line="340" w:lineRule="exact"/>
              <w:ind w:firstLine="0" w:firstLineChars="0"/>
              <w:rPr>
                <w:rFonts w:ascii="仿宋_GB2312" w:hAnsi="仿宋_GB2312" w:cs="仿宋_GB2312"/>
                <w:sz w:val="24"/>
              </w:rPr>
            </w:pPr>
            <w:r>
              <w:rPr>
                <w:rFonts w:hint="eastAsia" w:ascii="仿宋_GB2312" w:hAnsi="仿宋_GB2312" w:cs="仿宋_GB2312"/>
                <w:sz w:val="24"/>
              </w:rPr>
              <w:t>1.投标价不低于评标基准价的50%的费用报价计算得分=(评标基准价／投标报价)×0.15×100，满分15分。</w:t>
            </w:r>
          </w:p>
          <w:p>
            <w:pPr>
              <w:spacing w:line="340" w:lineRule="exact"/>
              <w:ind w:firstLine="0" w:firstLineChars="0"/>
            </w:pPr>
            <w:r>
              <w:rPr>
                <w:rFonts w:hint="eastAsia" w:ascii="仿宋_GB2312" w:hAnsi="仿宋_GB2312" w:cs="仿宋_GB2312"/>
                <w:sz w:val="24"/>
              </w:rPr>
              <w:t>2. 投标价低于评标基准价的50%（含）的，费用报价得0分。</w:t>
            </w:r>
          </w:p>
        </w:tc>
        <w:tc>
          <w:tcPr>
            <w:tcW w:w="787" w:type="dxa"/>
            <w:vAlign w:val="center"/>
          </w:tcPr>
          <w:p>
            <w:pPr>
              <w:spacing w:line="360" w:lineRule="exact"/>
              <w:ind w:firstLine="48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jc w:val="center"/>
        </w:trPr>
        <w:tc>
          <w:tcPr>
            <w:tcW w:w="744"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2</w:t>
            </w:r>
          </w:p>
        </w:tc>
        <w:tc>
          <w:tcPr>
            <w:tcW w:w="1181" w:type="dxa"/>
            <w:vAlign w:val="center"/>
          </w:tcPr>
          <w:p>
            <w:pPr>
              <w:spacing w:line="360" w:lineRule="exact"/>
              <w:ind w:firstLine="0" w:firstLineChars="0"/>
              <w:rPr>
                <w:rFonts w:ascii="仿宋_GB2312" w:hAnsi="仿宋_GB2312" w:cs="仿宋_GB2312"/>
                <w:sz w:val="24"/>
                <w:highlight w:val="none"/>
              </w:rPr>
            </w:pPr>
            <w:r>
              <w:rPr>
                <w:rFonts w:hint="eastAsia" w:ascii="仿宋_GB2312" w:hAnsi="仿宋_GB2312" w:cs="仿宋_GB2312"/>
                <w:sz w:val="24"/>
                <w:highlight w:val="none"/>
              </w:rPr>
              <w:t>服务机构资质</w:t>
            </w:r>
          </w:p>
        </w:tc>
        <w:tc>
          <w:tcPr>
            <w:tcW w:w="756" w:type="dxa"/>
            <w:vAlign w:val="center"/>
          </w:tcPr>
          <w:p>
            <w:pPr>
              <w:spacing w:line="360" w:lineRule="exact"/>
              <w:ind w:firstLine="0" w:firstLineChars="0"/>
              <w:jc w:val="center"/>
              <w:rPr>
                <w:rFonts w:ascii="仿宋_GB2312" w:hAnsi="仿宋_GB2312" w:cs="仿宋_GB2312"/>
                <w:color w:val="FF0000"/>
                <w:sz w:val="24"/>
                <w:highlight w:val="none"/>
              </w:rPr>
            </w:pPr>
            <w:r>
              <w:rPr>
                <w:rFonts w:ascii="仿宋_GB2312" w:hAnsi="仿宋_GB2312" w:cs="仿宋_GB2312"/>
                <w:sz w:val="24"/>
                <w:highlight w:val="none"/>
              </w:rPr>
              <w:t>30</w:t>
            </w:r>
          </w:p>
        </w:tc>
        <w:tc>
          <w:tcPr>
            <w:tcW w:w="5054" w:type="dxa"/>
            <w:vAlign w:val="center"/>
          </w:tcPr>
          <w:p>
            <w:pPr>
              <w:pStyle w:val="2"/>
              <w:numPr>
                <w:ilvl w:val="0"/>
                <w:numId w:val="0"/>
              </w:numPr>
              <w:ind w:leftChars="0"/>
              <w:jc w:val="both"/>
              <w:rPr>
                <w:rFonts w:hint="eastAsia" w:ascii="仿宋_GB2312" w:hAnsi="仿宋_GB2312" w:cs="仿宋_GB2312"/>
                <w:sz w:val="24"/>
                <w:lang w:val="en-US" w:eastAsia="zh-CN"/>
              </w:rPr>
            </w:pPr>
            <w:r>
              <w:rPr>
                <w:rFonts w:hint="eastAsia" w:ascii="仿宋_GB2312" w:hAnsi="仿宋_GB2312" w:cs="仿宋_GB2312"/>
                <w:sz w:val="24"/>
                <w:lang w:val="en-US" w:eastAsia="zh-CN"/>
              </w:rPr>
              <w:t>1、投标人具有企业信用等级证书，得10分；</w:t>
            </w:r>
          </w:p>
          <w:p>
            <w:pPr>
              <w:pStyle w:val="2"/>
              <w:numPr>
                <w:ilvl w:val="0"/>
                <w:numId w:val="0"/>
              </w:numPr>
              <w:ind w:leftChars="0"/>
              <w:jc w:val="both"/>
              <w:rPr>
                <w:rFonts w:hint="eastAsia" w:ascii="仿宋_GB2312" w:hAnsi="仿宋_GB2312" w:cs="仿宋_GB2312"/>
                <w:sz w:val="24"/>
                <w:lang w:val="en-US" w:eastAsia="zh-CN"/>
              </w:rPr>
            </w:pPr>
            <w:r>
              <w:rPr>
                <w:rFonts w:hint="eastAsia" w:ascii="仿宋_GB2312" w:hAnsi="仿宋_GB2312" w:cs="仿宋_GB2312"/>
                <w:sz w:val="24"/>
                <w:lang w:val="en-US" w:eastAsia="zh-CN"/>
              </w:rPr>
              <w:t>注：响应文件须提供证书扫描件作为评审依据。</w:t>
            </w:r>
          </w:p>
          <w:p>
            <w:pPr>
              <w:spacing w:line="340" w:lineRule="exact"/>
              <w:ind w:firstLine="0" w:firstLineChars="0"/>
              <w:rPr>
                <w:rFonts w:hint="eastAsia" w:ascii="仿宋_GB2312" w:hAnsi="仿宋_GB2312" w:cs="仿宋_GB2312"/>
                <w:sz w:val="24"/>
                <w:lang w:val="en-US" w:eastAsia="zh-CN"/>
              </w:rPr>
            </w:pPr>
            <w:r>
              <w:rPr>
                <w:rFonts w:hint="eastAsia" w:ascii="仿宋_GB2312" w:hAnsi="仿宋_GB2312" w:cs="仿宋_GB2312"/>
                <w:sz w:val="24"/>
                <w:lang w:val="en-US" w:eastAsia="zh-CN"/>
              </w:rPr>
              <w:t>2、投标人提供可供项目长期推广支持的平台和推广资源，配备的媒体平台和推广资源：</w:t>
            </w:r>
          </w:p>
          <w:p>
            <w:pPr>
              <w:spacing w:line="340" w:lineRule="exact"/>
              <w:ind w:firstLine="0" w:firstLineChars="0"/>
              <w:rPr>
                <w:rFonts w:hint="eastAsia" w:ascii="仿宋_GB2312" w:hAnsi="仿宋_GB2312" w:cs="仿宋_GB2312"/>
                <w:sz w:val="24"/>
                <w:lang w:val="en-US" w:eastAsia="zh-CN"/>
              </w:rPr>
            </w:pPr>
            <w:r>
              <w:rPr>
                <w:rFonts w:hint="eastAsia" w:ascii="仿宋_GB2312" w:hAnsi="仿宋_GB2312" w:cs="仿宋_GB2312"/>
                <w:sz w:val="24"/>
                <w:lang w:val="en-US" w:eastAsia="zh-CN"/>
              </w:rPr>
              <w:t>（1）投标人具有（或被授权运营（或使用））自媒体平台的，得1分；</w:t>
            </w:r>
          </w:p>
          <w:p>
            <w:pPr>
              <w:spacing w:line="340" w:lineRule="exact"/>
              <w:ind w:firstLine="0" w:firstLineChars="0"/>
              <w:rPr>
                <w:rFonts w:hint="eastAsia" w:ascii="仿宋_GB2312" w:hAnsi="仿宋_GB2312" w:cs="仿宋_GB2312"/>
                <w:sz w:val="24"/>
                <w:lang w:val="en-US" w:eastAsia="zh-CN"/>
              </w:rPr>
            </w:pPr>
            <w:r>
              <w:rPr>
                <w:rFonts w:hint="eastAsia" w:ascii="仿宋_GB2312" w:hAnsi="仿宋_GB2312" w:cs="仿宋_GB2312"/>
                <w:sz w:val="24"/>
                <w:lang w:val="en-US" w:eastAsia="zh-CN"/>
              </w:rPr>
              <w:t>（2）投标人具有（或被授权运营（或使用））市级媒体平台的，得5分；投标人具有（或被授权运营（或使用））省级媒体平台（或以上）的，得10分；</w:t>
            </w:r>
          </w:p>
          <w:p>
            <w:pPr>
              <w:spacing w:line="340" w:lineRule="exact"/>
              <w:ind w:firstLine="0" w:firstLineChars="0"/>
              <w:rPr>
                <w:rFonts w:hint="default" w:ascii="仿宋_GB2312" w:hAnsi="仿宋_GB2312" w:cs="仿宋_GB2312"/>
                <w:sz w:val="24"/>
                <w:lang w:val="en-US" w:eastAsia="zh-CN"/>
              </w:rPr>
            </w:pPr>
            <w:r>
              <w:rPr>
                <w:rFonts w:hint="eastAsia" w:ascii="仿宋_GB2312" w:hAnsi="仿宋_GB2312" w:cs="仿宋_GB2312"/>
                <w:sz w:val="24"/>
                <w:lang w:val="en-US" w:eastAsia="zh-CN"/>
              </w:rPr>
              <w:t>本项不累计得分，以最高项得分为准，最高分10分。</w:t>
            </w:r>
          </w:p>
          <w:p>
            <w:pPr>
              <w:spacing w:line="340" w:lineRule="exact"/>
              <w:ind w:firstLine="0" w:firstLineChars="0"/>
              <w:rPr>
                <w:rFonts w:hint="eastAsia" w:ascii="仿宋_GB2312" w:hAnsi="仿宋_GB2312" w:cs="仿宋_GB2312"/>
                <w:sz w:val="24"/>
                <w:lang w:val="en-US" w:eastAsia="zh-CN"/>
              </w:rPr>
            </w:pPr>
            <w:r>
              <w:rPr>
                <w:rFonts w:hint="eastAsia" w:ascii="仿宋_GB2312" w:hAnsi="仿宋_GB2312" w:cs="仿宋_GB2312"/>
                <w:sz w:val="24"/>
                <w:lang w:val="en-US" w:eastAsia="zh-CN"/>
              </w:rPr>
              <w:t>注：投标时需提供平台截图及相关主管部门合规准允运营平台的备案文件证明，如是被授权运营（或使用）媒体平台的还需提供有效的授权文件，未提供不得分。</w:t>
            </w:r>
          </w:p>
          <w:p>
            <w:pPr>
              <w:pStyle w:val="2"/>
              <w:numPr>
                <w:ilvl w:val="0"/>
                <w:numId w:val="0"/>
              </w:numPr>
              <w:ind w:leftChars="0"/>
              <w:jc w:val="both"/>
              <w:rPr>
                <w:rFonts w:hint="default" w:ascii="仿宋_GB2312" w:hAnsi="仿宋_GB2312" w:cs="仿宋_GB2312"/>
                <w:sz w:val="24"/>
                <w:lang w:val="en-US" w:eastAsia="zh-CN"/>
              </w:rPr>
            </w:pPr>
            <w:r>
              <w:rPr>
                <w:rFonts w:hint="eastAsia" w:ascii="仿宋_GB2312" w:hAnsi="仿宋_GB2312" w:cs="仿宋_GB2312"/>
                <w:sz w:val="24"/>
                <w:lang w:val="en-US" w:eastAsia="zh-CN"/>
              </w:rPr>
              <w:t>3、投标人具有广播电视节目制作经营许可证的，得10分。</w:t>
            </w:r>
          </w:p>
          <w:p>
            <w:pPr>
              <w:pStyle w:val="2"/>
              <w:numPr>
                <w:ilvl w:val="0"/>
                <w:numId w:val="0"/>
              </w:numPr>
              <w:ind w:leftChars="0"/>
              <w:jc w:val="both"/>
              <w:rPr>
                <w:rFonts w:hint="default" w:ascii="仿宋_GB2312" w:hAnsi="仿宋_GB2312" w:cs="仿宋_GB2312"/>
                <w:sz w:val="24"/>
                <w:lang w:val="en-US"/>
              </w:rPr>
            </w:pPr>
            <w:r>
              <w:rPr>
                <w:rFonts w:hint="eastAsia" w:ascii="仿宋_GB2312" w:hAnsi="仿宋_GB2312" w:cs="仿宋_GB2312"/>
                <w:sz w:val="24"/>
                <w:lang w:val="en-US" w:eastAsia="zh-CN"/>
              </w:rPr>
              <w:t>注：响应文件须提供证书扫描件作为评审依据。</w:t>
            </w:r>
          </w:p>
        </w:tc>
        <w:tc>
          <w:tcPr>
            <w:tcW w:w="787" w:type="dxa"/>
            <w:vAlign w:val="center"/>
          </w:tcPr>
          <w:p>
            <w:pPr>
              <w:spacing w:line="360" w:lineRule="exact"/>
              <w:ind w:firstLine="0" w:firstLineChars="0"/>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3</w:t>
            </w:r>
          </w:p>
        </w:tc>
        <w:tc>
          <w:tcPr>
            <w:tcW w:w="1181" w:type="dxa"/>
            <w:vAlign w:val="center"/>
          </w:tcPr>
          <w:p>
            <w:pPr>
              <w:spacing w:line="360" w:lineRule="exact"/>
              <w:ind w:firstLine="0" w:firstLineChars="0"/>
              <w:jc w:val="left"/>
              <w:rPr>
                <w:rFonts w:ascii="仿宋_GB2312" w:hAnsi="仿宋_GB2312" w:cs="仿宋_GB2312"/>
                <w:sz w:val="24"/>
              </w:rPr>
            </w:pPr>
            <w:r>
              <w:rPr>
                <w:rFonts w:hint="eastAsia" w:ascii="仿宋_GB2312" w:hAnsi="仿宋_GB2312" w:cs="仿宋_GB2312"/>
                <w:sz w:val="24"/>
              </w:rPr>
              <w:t>服务机构业绩</w:t>
            </w:r>
          </w:p>
        </w:tc>
        <w:tc>
          <w:tcPr>
            <w:tcW w:w="756" w:type="dxa"/>
            <w:vAlign w:val="center"/>
          </w:tcPr>
          <w:p>
            <w:pPr>
              <w:spacing w:line="360" w:lineRule="exact"/>
              <w:ind w:firstLine="0" w:firstLineChars="0"/>
              <w:jc w:val="center"/>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20</w:t>
            </w:r>
          </w:p>
        </w:tc>
        <w:tc>
          <w:tcPr>
            <w:tcW w:w="5054" w:type="dxa"/>
            <w:vAlign w:val="center"/>
          </w:tcPr>
          <w:p>
            <w:pPr>
              <w:spacing w:line="340" w:lineRule="exact"/>
              <w:ind w:firstLine="0" w:firstLineChars="0"/>
              <w:rPr>
                <w:rFonts w:hint="eastAsia" w:ascii="仿宋_GB2312" w:hAnsi="仿宋_GB2312" w:cs="仿宋_GB2312"/>
                <w:sz w:val="24"/>
                <w:lang w:val="en-US" w:eastAsia="zh-CN"/>
              </w:rPr>
            </w:pPr>
            <w:r>
              <w:rPr>
                <w:rFonts w:hint="eastAsia" w:ascii="仿宋_GB2312" w:hAnsi="仿宋_GB2312" w:cs="仿宋_GB2312"/>
                <w:sz w:val="24"/>
                <w:lang w:val="en-US" w:eastAsia="zh-CN"/>
              </w:rPr>
              <w:t>投标人自2017年1月1日（业绩时间以合同签订时间为准）以来，有新媒体相关合同业绩的，每提供一项得5分，最高得20分。</w:t>
            </w:r>
          </w:p>
          <w:p>
            <w:pPr>
              <w:spacing w:line="340" w:lineRule="exact"/>
              <w:ind w:firstLine="0" w:firstLineChars="0"/>
              <w:rPr>
                <w:rFonts w:ascii="仿宋_GB2312" w:hAnsi="仿宋_GB2312" w:cs="仿宋_GB2312"/>
                <w:sz w:val="24"/>
              </w:rPr>
            </w:pPr>
            <w:r>
              <w:rPr>
                <w:rFonts w:hint="eastAsia" w:ascii="仿宋_GB2312" w:hAnsi="仿宋_GB2312" w:cs="仿宋_GB2312"/>
                <w:sz w:val="24"/>
                <w:lang w:val="en-US" w:eastAsia="zh-CN"/>
              </w:rPr>
              <w:t>注：提供可供证明的项目合同。</w:t>
            </w:r>
          </w:p>
        </w:tc>
        <w:tc>
          <w:tcPr>
            <w:tcW w:w="787" w:type="dxa"/>
            <w:vAlign w:val="center"/>
          </w:tcPr>
          <w:p>
            <w:pPr>
              <w:spacing w:line="360" w:lineRule="exact"/>
              <w:ind w:firstLine="0" w:firstLineChars="0"/>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744"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4</w:t>
            </w:r>
          </w:p>
        </w:tc>
        <w:tc>
          <w:tcPr>
            <w:tcW w:w="1181" w:type="dxa"/>
            <w:vAlign w:val="center"/>
          </w:tcPr>
          <w:p>
            <w:pPr>
              <w:spacing w:line="360" w:lineRule="exact"/>
              <w:ind w:firstLine="0" w:firstLineChars="0"/>
              <w:jc w:val="left"/>
              <w:rPr>
                <w:rFonts w:hint="eastAsia" w:ascii="仿宋_GB2312" w:hAnsi="仿宋_GB2312" w:cs="仿宋_GB2312"/>
                <w:sz w:val="24"/>
                <w:lang w:val="en-US" w:eastAsia="zh-CN"/>
              </w:rPr>
            </w:pPr>
            <w:r>
              <w:rPr>
                <w:rFonts w:hint="eastAsia" w:ascii="仿宋_GB2312" w:hAnsi="仿宋_GB2312" w:cs="仿宋_GB2312"/>
                <w:sz w:val="24"/>
                <w:lang w:val="en-US" w:eastAsia="zh-CN"/>
              </w:rPr>
              <w:t>服务团队</w:t>
            </w:r>
          </w:p>
          <w:p>
            <w:pPr>
              <w:spacing w:line="360" w:lineRule="exact"/>
              <w:ind w:firstLine="0" w:firstLineChars="0"/>
              <w:jc w:val="left"/>
              <w:rPr>
                <w:rFonts w:ascii="仿宋_GB2312" w:hAnsi="仿宋_GB2312" w:cs="仿宋_GB2312"/>
                <w:sz w:val="24"/>
              </w:rPr>
            </w:pPr>
            <w:r>
              <w:rPr>
                <w:rFonts w:hint="eastAsia" w:ascii="仿宋_GB2312" w:hAnsi="仿宋_GB2312" w:cs="仿宋_GB2312"/>
                <w:sz w:val="24"/>
                <w:lang w:val="en-US" w:eastAsia="zh-CN"/>
              </w:rPr>
              <w:t>人员配置</w:t>
            </w:r>
          </w:p>
        </w:tc>
        <w:tc>
          <w:tcPr>
            <w:tcW w:w="756" w:type="dxa"/>
            <w:vAlign w:val="center"/>
          </w:tcPr>
          <w:p>
            <w:pPr>
              <w:spacing w:line="360" w:lineRule="exact"/>
              <w:ind w:firstLine="0" w:firstLineChars="0"/>
              <w:jc w:val="center"/>
              <w:rPr>
                <w:rFonts w:hint="eastAsia" w:ascii="仿宋_GB2312" w:hAnsi="仿宋_GB2312" w:eastAsia="仿宋_GB2312" w:cs="仿宋_GB2312"/>
                <w:sz w:val="24"/>
                <w:lang w:eastAsia="zh-CN"/>
              </w:rPr>
            </w:pPr>
            <w:r>
              <w:rPr>
                <w:rFonts w:hint="eastAsia" w:ascii="仿宋_GB2312" w:hAnsi="仿宋_GB2312" w:cs="仿宋_GB2312"/>
                <w:sz w:val="24"/>
                <w:lang w:val="en-US" w:eastAsia="zh-CN"/>
              </w:rPr>
              <w:t>15</w:t>
            </w:r>
          </w:p>
        </w:tc>
        <w:tc>
          <w:tcPr>
            <w:tcW w:w="5054" w:type="dxa"/>
            <w:vAlign w:val="center"/>
          </w:tcPr>
          <w:p>
            <w:pPr>
              <w:numPr>
                <w:ilvl w:val="0"/>
                <w:numId w:val="0"/>
              </w:numPr>
              <w:spacing w:line="340" w:lineRule="exact"/>
              <w:jc w:val="left"/>
              <w:rPr>
                <w:rFonts w:hint="eastAsia" w:ascii="仿宋_GB2312" w:hAnsi="仿宋_GB2312" w:cs="仿宋_GB2312"/>
                <w:sz w:val="24"/>
                <w:lang w:val="en-US" w:eastAsia="zh-CN"/>
              </w:rPr>
            </w:pPr>
            <w:r>
              <w:rPr>
                <w:rFonts w:hint="eastAsia" w:ascii="仿宋_GB2312" w:hAnsi="仿宋_GB2312" w:cs="仿宋_GB2312"/>
                <w:sz w:val="24"/>
                <w:lang w:val="en-US" w:eastAsia="zh-CN"/>
              </w:rPr>
              <w:t>供应商为本项目提供的服务团队人员不低于10人，须包含项目经理、项目策划、视频拍摄制作、视觉设计、文字编辑等岗位，少于10人不得分，等于10人得10分，每增加1人多得1分，满分15分。</w:t>
            </w:r>
          </w:p>
          <w:p>
            <w:pPr>
              <w:numPr>
                <w:ilvl w:val="0"/>
                <w:numId w:val="0"/>
              </w:numPr>
              <w:spacing w:line="340" w:lineRule="exact"/>
              <w:jc w:val="left"/>
              <w:rPr>
                <w:rFonts w:ascii="仿宋_GB2312" w:hAnsi="仿宋_GB2312" w:cs="仿宋_GB2312"/>
                <w:sz w:val="24"/>
              </w:rPr>
            </w:pPr>
            <w:r>
              <w:rPr>
                <w:rFonts w:hint="eastAsia" w:ascii="仿宋_GB2312" w:hAnsi="仿宋_GB2312" w:cs="仿宋_GB2312"/>
                <w:sz w:val="24"/>
                <w:lang w:val="en-US" w:eastAsia="zh-CN"/>
              </w:rPr>
              <w:t>注：投标文件中须同时提供项目服务团队成员情况表（格式自拟），供应商提供距投标截止时间前三个月中任意一个月为项目服务团队全部成员缴纳的社保证明材料，否则不予计分。</w:t>
            </w:r>
          </w:p>
        </w:tc>
        <w:tc>
          <w:tcPr>
            <w:tcW w:w="787" w:type="dxa"/>
            <w:vAlign w:val="center"/>
          </w:tcPr>
          <w:p>
            <w:pPr>
              <w:spacing w:line="360" w:lineRule="exact"/>
              <w:ind w:firstLine="0" w:firstLineChars="0"/>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4" w:type="dxa"/>
            <w:vAlign w:val="center"/>
          </w:tcPr>
          <w:p>
            <w:pPr>
              <w:spacing w:line="360" w:lineRule="exact"/>
              <w:ind w:firstLine="0" w:firstLineChars="0"/>
              <w:jc w:val="center"/>
              <w:rPr>
                <w:rFonts w:ascii="仿宋_GB2312" w:hAnsi="仿宋_GB2312" w:cs="仿宋_GB2312"/>
                <w:sz w:val="24"/>
              </w:rPr>
            </w:pPr>
            <w:r>
              <w:rPr>
                <w:rFonts w:ascii="仿宋_GB2312" w:hAnsi="仿宋_GB2312" w:cs="仿宋_GB2312"/>
                <w:sz w:val="24"/>
              </w:rPr>
              <w:t>5</w:t>
            </w:r>
          </w:p>
        </w:tc>
        <w:tc>
          <w:tcPr>
            <w:tcW w:w="1181" w:type="dxa"/>
            <w:vAlign w:val="center"/>
          </w:tcPr>
          <w:p>
            <w:pPr>
              <w:spacing w:line="360" w:lineRule="exact"/>
              <w:ind w:firstLine="0" w:firstLineChars="0"/>
              <w:jc w:val="center"/>
              <w:rPr>
                <w:rFonts w:ascii="仿宋_GB2312" w:hAnsi="仿宋_GB2312" w:cs="仿宋_GB2312"/>
                <w:sz w:val="24"/>
              </w:rPr>
            </w:pPr>
            <w:r>
              <w:rPr>
                <w:rFonts w:hint="eastAsia" w:ascii="仿宋_GB2312" w:hAnsi="仿宋_GB2312" w:cs="仿宋_GB2312"/>
                <w:sz w:val="24"/>
              </w:rPr>
              <w:t>服务方案</w:t>
            </w:r>
          </w:p>
        </w:tc>
        <w:tc>
          <w:tcPr>
            <w:tcW w:w="756" w:type="dxa"/>
            <w:vAlign w:val="center"/>
          </w:tcPr>
          <w:p>
            <w:pPr>
              <w:spacing w:line="360" w:lineRule="exact"/>
              <w:ind w:firstLine="0" w:firstLineChars="0"/>
              <w:jc w:val="center"/>
              <w:rPr>
                <w:rFonts w:hint="eastAsia" w:ascii="仿宋_GB2312" w:hAnsi="仿宋_GB2312" w:eastAsia="仿宋_GB2312" w:cs="仿宋_GB2312"/>
                <w:sz w:val="24"/>
                <w:lang w:eastAsia="zh-CN"/>
              </w:rPr>
            </w:pPr>
            <w:r>
              <w:rPr>
                <w:rFonts w:ascii="仿宋_GB2312" w:hAnsi="仿宋_GB2312" w:cs="仿宋_GB2312"/>
                <w:sz w:val="24"/>
              </w:rPr>
              <w:t>2</w:t>
            </w:r>
            <w:r>
              <w:rPr>
                <w:rFonts w:hint="eastAsia" w:ascii="仿宋_GB2312" w:hAnsi="仿宋_GB2312" w:cs="仿宋_GB2312"/>
                <w:sz w:val="24"/>
                <w:lang w:val="en-US" w:eastAsia="zh-CN"/>
              </w:rPr>
              <w:t>0</w:t>
            </w:r>
          </w:p>
        </w:tc>
        <w:tc>
          <w:tcPr>
            <w:tcW w:w="5054" w:type="dxa"/>
            <w:vAlign w:val="center"/>
          </w:tcPr>
          <w:p>
            <w:pPr>
              <w:numPr>
                <w:ilvl w:val="0"/>
                <w:numId w:val="0"/>
              </w:numPr>
              <w:spacing w:line="340" w:lineRule="exact"/>
              <w:jc w:val="left"/>
              <w:rPr>
                <w:rFonts w:hint="eastAsia" w:ascii="仿宋_GB2312" w:hAnsi="仿宋_GB2312" w:cs="仿宋_GB2312"/>
                <w:sz w:val="24"/>
                <w:lang w:val="en-US" w:eastAsia="zh-CN"/>
              </w:rPr>
            </w:pPr>
            <w:r>
              <w:rPr>
                <w:rFonts w:hint="eastAsia" w:ascii="仿宋_GB2312" w:hAnsi="仿宋_GB2312" w:cs="仿宋_GB2312"/>
                <w:sz w:val="24"/>
                <w:lang w:val="en-US" w:eastAsia="zh-CN"/>
              </w:rPr>
              <w:t xml:space="preserve">围绕此次新媒体合作项目能够全方位推广覆盖，其中： </w:t>
            </w:r>
          </w:p>
          <w:p>
            <w:pPr>
              <w:numPr>
                <w:ilvl w:val="0"/>
                <w:numId w:val="0"/>
              </w:numPr>
              <w:spacing w:line="340" w:lineRule="exact"/>
              <w:jc w:val="left"/>
              <w:rPr>
                <w:rFonts w:hint="eastAsia" w:ascii="仿宋_GB2312" w:hAnsi="仿宋_GB2312" w:cs="仿宋_GB2312"/>
                <w:sz w:val="24"/>
                <w:lang w:val="en-US" w:eastAsia="zh-CN"/>
              </w:rPr>
            </w:pPr>
            <w:r>
              <w:rPr>
                <w:rFonts w:hint="eastAsia" w:ascii="仿宋_GB2312" w:hAnsi="仿宋" w:cs="仿宋"/>
                <w:bCs/>
                <w:kern w:val="2"/>
                <w:sz w:val="24"/>
                <w:szCs w:val="24"/>
                <w:lang w:val="en-US" w:eastAsia="zh-CN" w:bidi="ar-SA"/>
              </w:rPr>
              <w:t>1.</w:t>
            </w:r>
            <w:r>
              <w:rPr>
                <w:rFonts w:hint="eastAsia" w:ascii="仿宋_GB2312" w:hAnsi="仿宋" w:eastAsia="仿宋_GB2312" w:cs="仿宋"/>
                <w:bCs/>
                <w:kern w:val="2"/>
                <w:sz w:val="24"/>
                <w:szCs w:val="24"/>
                <w:lang w:val="en-US" w:eastAsia="zh-CN" w:bidi="ar-SA"/>
              </w:rPr>
              <w:t>根据线上宣传方案全面结合安徽国控投资公司全年工作重点</w:t>
            </w:r>
            <w:r>
              <w:rPr>
                <w:rFonts w:hint="eastAsia" w:ascii="仿宋_GB2312" w:hAnsi="仿宋_GB2312" w:cs="仿宋_GB2312"/>
                <w:sz w:val="24"/>
                <w:lang w:val="en-US" w:eastAsia="zh-CN"/>
              </w:rPr>
              <w:t>，综合进行比较</w:t>
            </w:r>
            <w:bookmarkStart w:id="0" w:name="_GoBack"/>
            <w:bookmarkEnd w:id="0"/>
            <w:r>
              <w:rPr>
                <w:rFonts w:hint="eastAsia" w:ascii="仿宋_GB2312" w:hAnsi="仿宋_GB2312" w:cs="仿宋_GB2312"/>
                <w:sz w:val="24"/>
                <w:lang w:val="en-US" w:eastAsia="zh-CN"/>
              </w:rPr>
              <w:t>0-10分；</w:t>
            </w:r>
          </w:p>
          <w:p>
            <w:pPr>
              <w:numPr>
                <w:ilvl w:val="0"/>
                <w:numId w:val="0"/>
              </w:numPr>
              <w:spacing w:line="340" w:lineRule="exact"/>
              <w:jc w:val="left"/>
            </w:pPr>
            <w:r>
              <w:rPr>
                <w:rFonts w:hint="eastAsia" w:ascii="仿宋_GB2312" w:hAnsi="仿宋_GB2312" w:cs="仿宋_GB2312"/>
                <w:sz w:val="24"/>
                <w:lang w:val="en-US" w:eastAsia="zh-CN"/>
              </w:rPr>
              <w:t>2.根据宣传形式多样包含图、文、视频等多种形式，且立意新颖的综合进行比较0-10分。</w:t>
            </w:r>
          </w:p>
        </w:tc>
        <w:tc>
          <w:tcPr>
            <w:tcW w:w="787" w:type="dxa"/>
            <w:vAlign w:val="center"/>
          </w:tcPr>
          <w:p>
            <w:pPr>
              <w:spacing w:line="360" w:lineRule="exact"/>
              <w:ind w:firstLine="0" w:firstLineChars="0"/>
              <w:jc w:val="center"/>
              <w:rPr>
                <w:rFonts w:ascii="仿宋_GB2312" w:hAnsi="仿宋_GB2312" w:cs="仿宋_GB2312"/>
                <w:sz w:val="24"/>
              </w:rPr>
            </w:pPr>
          </w:p>
        </w:tc>
      </w:tr>
    </w:tbl>
    <w:p>
      <w:pPr>
        <w:ind w:firstLine="0" w:firstLineChars="0"/>
        <w:rPr>
          <w:rFonts w:hint="eastAsia" w:eastAsia="仿宋_GB231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WRiYmZlZTMxYTI4YmNiN2NkNTMzMjdkODQ1ZGUifQ=="/>
  </w:docVars>
  <w:rsids>
    <w:rsidRoot w:val="00172A27"/>
    <w:rsid w:val="00006738"/>
    <w:rsid w:val="00085D52"/>
    <w:rsid w:val="000B4F9A"/>
    <w:rsid w:val="000F5C3D"/>
    <w:rsid w:val="00172A27"/>
    <w:rsid w:val="0017504D"/>
    <w:rsid w:val="001A335A"/>
    <w:rsid w:val="001B0523"/>
    <w:rsid w:val="001D48A9"/>
    <w:rsid w:val="00254682"/>
    <w:rsid w:val="002C12CA"/>
    <w:rsid w:val="002E1E36"/>
    <w:rsid w:val="00301A0F"/>
    <w:rsid w:val="00363AE4"/>
    <w:rsid w:val="004B2FD5"/>
    <w:rsid w:val="004B3408"/>
    <w:rsid w:val="00501AB9"/>
    <w:rsid w:val="0057741F"/>
    <w:rsid w:val="00623247"/>
    <w:rsid w:val="00670560"/>
    <w:rsid w:val="0067577C"/>
    <w:rsid w:val="0068002E"/>
    <w:rsid w:val="006E7849"/>
    <w:rsid w:val="00764161"/>
    <w:rsid w:val="007868B6"/>
    <w:rsid w:val="007D2F10"/>
    <w:rsid w:val="007E2E0F"/>
    <w:rsid w:val="0085661F"/>
    <w:rsid w:val="008C07CE"/>
    <w:rsid w:val="009B4452"/>
    <w:rsid w:val="009B7DED"/>
    <w:rsid w:val="009F2874"/>
    <w:rsid w:val="00A25D1B"/>
    <w:rsid w:val="00A54DAA"/>
    <w:rsid w:val="00A90CBD"/>
    <w:rsid w:val="00AB3D1B"/>
    <w:rsid w:val="00B42276"/>
    <w:rsid w:val="00B4473B"/>
    <w:rsid w:val="00BD26E6"/>
    <w:rsid w:val="00C30CA0"/>
    <w:rsid w:val="00C62FD0"/>
    <w:rsid w:val="00C912CD"/>
    <w:rsid w:val="00CB0CD7"/>
    <w:rsid w:val="00D62120"/>
    <w:rsid w:val="00D75C87"/>
    <w:rsid w:val="00D8524B"/>
    <w:rsid w:val="00D86B1C"/>
    <w:rsid w:val="00DB5B56"/>
    <w:rsid w:val="00DD7706"/>
    <w:rsid w:val="00DF231E"/>
    <w:rsid w:val="00E2431C"/>
    <w:rsid w:val="00E76C8E"/>
    <w:rsid w:val="00EE0400"/>
    <w:rsid w:val="00EE3D7B"/>
    <w:rsid w:val="00F02D4D"/>
    <w:rsid w:val="00F46CDF"/>
    <w:rsid w:val="00F91E8F"/>
    <w:rsid w:val="00F96232"/>
    <w:rsid w:val="00FC4D35"/>
    <w:rsid w:val="00FE2D7A"/>
    <w:rsid w:val="03260AAC"/>
    <w:rsid w:val="047F0AAE"/>
    <w:rsid w:val="0514152F"/>
    <w:rsid w:val="0C0D3400"/>
    <w:rsid w:val="0D180B6D"/>
    <w:rsid w:val="0DC369E6"/>
    <w:rsid w:val="15427B15"/>
    <w:rsid w:val="16245294"/>
    <w:rsid w:val="197F1E5F"/>
    <w:rsid w:val="1D2E21D3"/>
    <w:rsid w:val="1FF65B1F"/>
    <w:rsid w:val="279E4458"/>
    <w:rsid w:val="295823A3"/>
    <w:rsid w:val="2BF2538A"/>
    <w:rsid w:val="2C405C68"/>
    <w:rsid w:val="2C81338A"/>
    <w:rsid w:val="2E1E3712"/>
    <w:rsid w:val="325536B0"/>
    <w:rsid w:val="3547663F"/>
    <w:rsid w:val="3922747B"/>
    <w:rsid w:val="3A5266C9"/>
    <w:rsid w:val="3CEC4FE4"/>
    <w:rsid w:val="3FA71609"/>
    <w:rsid w:val="44BE6871"/>
    <w:rsid w:val="46B81A1F"/>
    <w:rsid w:val="480B6BB0"/>
    <w:rsid w:val="48FC2E5B"/>
    <w:rsid w:val="491B133A"/>
    <w:rsid w:val="4A90425E"/>
    <w:rsid w:val="4B4311A3"/>
    <w:rsid w:val="4B7A0E96"/>
    <w:rsid w:val="4D845523"/>
    <w:rsid w:val="4F3704D4"/>
    <w:rsid w:val="515876D3"/>
    <w:rsid w:val="519735C9"/>
    <w:rsid w:val="51C64649"/>
    <w:rsid w:val="59447A9C"/>
    <w:rsid w:val="5A051A5C"/>
    <w:rsid w:val="5AFC15B5"/>
    <w:rsid w:val="5CE912FF"/>
    <w:rsid w:val="5ED911B1"/>
    <w:rsid w:val="5F246CCC"/>
    <w:rsid w:val="6202535D"/>
    <w:rsid w:val="65762378"/>
    <w:rsid w:val="66EB472D"/>
    <w:rsid w:val="68401AED"/>
    <w:rsid w:val="6C2B5600"/>
    <w:rsid w:val="6E4C0A84"/>
    <w:rsid w:val="6F8B10B7"/>
    <w:rsid w:val="72CC7CFD"/>
    <w:rsid w:val="734E14BB"/>
    <w:rsid w:val="7B0C3B00"/>
    <w:rsid w:val="7D1E0A54"/>
    <w:rsid w:val="7D5800EC"/>
    <w:rsid w:val="7EBD6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1340" w:firstLineChars="20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qFormat/>
    <w:uiPriority w:val="0"/>
    <w:pPr>
      <w:keepNext/>
      <w:keepLines/>
      <w:ind w:firstLine="880"/>
      <w:outlineLvl w:val="0"/>
    </w:pPr>
    <w:rPr>
      <w:rFonts w:eastAsia="黑体"/>
      <w:bCs/>
      <w:kern w:val="44"/>
      <w:szCs w:val="44"/>
    </w:rPr>
  </w:style>
  <w:style w:type="paragraph" w:styleId="6">
    <w:name w:val="heading 2"/>
    <w:basedOn w:val="1"/>
    <w:next w:val="1"/>
    <w:semiHidden/>
    <w:unhideWhenUsed/>
    <w:qFormat/>
    <w:uiPriority w:val="0"/>
    <w:pPr>
      <w:keepNext/>
      <w:keepLines/>
      <w:ind w:firstLine="880"/>
      <w:jc w:val="left"/>
      <w:outlineLvl w:val="1"/>
    </w:pPr>
    <w:rPr>
      <w:rFonts w:eastAsia="楷体"/>
      <w:szCs w:val="32"/>
    </w:rPr>
  </w:style>
  <w:style w:type="paragraph" w:styleId="7">
    <w:name w:val="heading 3"/>
    <w:basedOn w:val="1"/>
    <w:next w:val="1"/>
    <w:semiHidden/>
    <w:unhideWhenUsed/>
    <w:qFormat/>
    <w:uiPriority w:val="0"/>
    <w:pPr>
      <w:keepNext/>
      <w:keepLines/>
      <w:ind w:firstLine="420"/>
      <w:outlineLvl w:val="2"/>
    </w:pPr>
    <w:rPr>
      <w:szCs w:val="32"/>
    </w:rPr>
  </w:style>
  <w:style w:type="paragraph" w:styleId="8">
    <w:name w:val="heading 4"/>
    <w:basedOn w:val="1"/>
    <w:next w:val="1"/>
    <w:semiHidden/>
    <w:unhideWhenUsed/>
    <w:qFormat/>
    <w:uiPriority w:val="0"/>
    <w:pPr>
      <w:keepNext/>
      <w:keepLines/>
      <w:ind w:firstLine="420"/>
      <w:outlineLvl w:val="3"/>
    </w:pPr>
    <w:rPr>
      <w:rFonts w:eastAsia="方正小标宋简体"/>
      <w:sz w:val="4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adjustRightInd w:val="0"/>
      <w:spacing w:line="360" w:lineRule="atLeast"/>
      <w:jc w:val="center"/>
      <w:textAlignment w:val="baseline"/>
    </w:pPr>
    <w:rPr>
      <w:kern w:val="0"/>
      <w:sz w:val="2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Body Text Indent 2"/>
    <w:basedOn w:val="1"/>
    <w:qFormat/>
    <w:uiPriority w:val="0"/>
  </w:style>
  <w:style w:type="paragraph" w:styleId="10">
    <w:name w:val="footer"/>
    <w:basedOn w:val="1"/>
    <w:link w:val="19"/>
    <w:qFormat/>
    <w:uiPriority w:val="0"/>
    <w:pPr>
      <w:tabs>
        <w:tab w:val="center" w:pos="4153"/>
        <w:tab w:val="right" w:pos="8306"/>
      </w:tabs>
      <w:snapToGrid w:val="0"/>
      <w:spacing w:line="240" w:lineRule="atLeast"/>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文头"/>
    <w:basedOn w:val="1"/>
    <w:qFormat/>
    <w:uiPriority w:val="0"/>
    <w:pPr>
      <w:jc w:val="center"/>
    </w:pPr>
    <w:rPr>
      <w:rFonts w:eastAsia="方正小标宋简体"/>
      <w:sz w:val="44"/>
      <w:szCs w:val="44"/>
    </w:rPr>
  </w:style>
  <w:style w:type="paragraph" w:customStyle="1" w:styleId="16">
    <w:name w:val="附件"/>
    <w:basedOn w:val="1"/>
    <w:qFormat/>
    <w:uiPriority w:val="0"/>
    <w:rPr>
      <w:rFonts w:eastAsia="黑体"/>
    </w:rPr>
  </w:style>
  <w:style w:type="paragraph" w:styleId="17">
    <w:name w:val="List Paragraph"/>
    <w:basedOn w:val="1"/>
    <w:qFormat/>
    <w:uiPriority w:val="99"/>
    <w:pPr>
      <w:ind w:firstLine="420"/>
    </w:pPr>
  </w:style>
  <w:style w:type="character" w:customStyle="1" w:styleId="18">
    <w:name w:val="页眉 字符"/>
    <w:basedOn w:val="14"/>
    <w:link w:val="11"/>
    <w:qFormat/>
    <w:uiPriority w:val="0"/>
    <w:rPr>
      <w:rFonts w:eastAsia="仿宋_GB2312"/>
      <w:kern w:val="2"/>
      <w:sz w:val="18"/>
      <w:szCs w:val="18"/>
    </w:rPr>
  </w:style>
  <w:style w:type="character" w:customStyle="1" w:styleId="19">
    <w:name w:val="页脚 字符"/>
    <w:basedOn w:val="14"/>
    <w:link w:val="10"/>
    <w:qFormat/>
    <w:uiPriority w:val="0"/>
    <w:rPr>
      <w:rFonts w:eastAsia="仿宋_GB2312"/>
      <w:kern w:val="2"/>
      <w:sz w:val="18"/>
      <w:szCs w:val="18"/>
    </w:r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2</Pages>
  <Words>853</Words>
  <Characters>941</Characters>
  <Lines>7</Lines>
  <Paragraphs>2</Paragraphs>
  <TotalTime>53</TotalTime>
  <ScaleCrop>false</ScaleCrop>
  <LinksUpToDate>false</LinksUpToDate>
  <CharactersWithSpaces>1052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2021-07-26T01:41:00Z</dcterms:created>
  <dc:creator>蔡天行</dc:creator>
  <cp:lastModifiedBy>蔡天行</cp:lastModifiedBy>
  <cp:lastPrinted>2022-05-19T09:26:00Z</cp:lastPrinted>
  <dcterms:modified xsi:type="dcterms:W3CDTF">2022-11-24T08:44:34Z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CB8C4BBC06144751997E0B9957FE213D</vt:lpwstr>
  </property>
</Properties>
</file>