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档案设备采购明细及相关要求说明</w:t>
      </w:r>
    </w:p>
    <w:p>
      <w:pPr>
        <w:pStyle w:val="2"/>
        <w:spacing w:before="0" w:after="0" w:line="579" w:lineRule="exact"/>
        <w:rPr>
          <w:rFonts w:hint="default" w:ascii="Arial" w:hAnsi="Arial"/>
          <w:b/>
          <w:color w:val="000000"/>
          <w:sz w:val="28"/>
          <w:szCs w:val="28"/>
          <w:lang w:val="en-US" w:eastAsia="zh-CN"/>
        </w:rPr>
      </w:pPr>
    </w:p>
    <w:p>
      <w:pPr>
        <w:spacing w:line="579" w:lineRule="exact"/>
        <w:jc w:val="both"/>
        <w:rPr>
          <w:rFonts w:hint="default" w:ascii="宋体" w:hAnsi="宋体"/>
          <w:b/>
          <w:color w:val="000000"/>
          <w:sz w:val="36"/>
          <w:szCs w:val="36"/>
          <w:lang w:val="en-US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一、</w:t>
      </w:r>
      <w:r>
        <w:rPr>
          <w:rFonts w:hint="eastAsia" w:ascii="宋体" w:hAnsi="宋体"/>
          <w:b/>
          <w:color w:val="000000"/>
          <w:sz w:val="36"/>
          <w:szCs w:val="36"/>
        </w:rPr>
        <w:t>档案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设备采购明细表</w:t>
      </w:r>
    </w:p>
    <w:p>
      <w:pPr>
        <w:spacing w:line="520" w:lineRule="exact"/>
        <w:ind w:right="692"/>
        <w:jc w:val="right"/>
        <w:rPr>
          <w:rFonts w:ascii="宋体" w:hAnsi="宋体"/>
          <w:bCs/>
        </w:rPr>
      </w:pPr>
    </w:p>
    <w:tbl>
      <w:tblPr>
        <w:tblStyle w:val="10"/>
        <w:tblW w:w="8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00"/>
        <w:gridCol w:w="332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ahoma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00×300×2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1（6层）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00×300×2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9（6层）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ahoma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5（6层）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7（6层）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16（6层）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1（6层）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档案固定架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00×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00mm×</w:t>
            </w:r>
            <w:r>
              <w:rPr>
                <w:rFonts w:hint="eastAsia" w:ascii="宋体" w:hAnsi="宋体"/>
                <w:lang w:val="en-US" w:eastAsia="zh-CN"/>
              </w:rPr>
              <w:t>9（12层）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ahom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轻型货架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135</w:t>
            </w:r>
            <w:r>
              <w:rPr>
                <w:rFonts w:hint="eastAsia" w:ascii="宋体" w:hAnsi="宋体"/>
              </w:rPr>
              <w:t>0×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00×2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00mm</w:t>
            </w:r>
            <w:r>
              <w:rPr>
                <w:rFonts w:hint="eastAsia" w:ascii="宋体" w:hAnsi="宋体"/>
                <w:lang w:val="en-US" w:eastAsia="zh-CN"/>
              </w:rPr>
              <w:t>（4层）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除湿机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504B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三步梯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标准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灭火器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3公斤二氧化碳灭火器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br w:type="page"/>
      </w:r>
    </w:p>
    <w:p>
      <w:pPr>
        <w:spacing w:line="579" w:lineRule="atLeast"/>
        <w:jc w:val="both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宋体" w:hAnsi="宋体"/>
          <w:b/>
          <w:color w:val="000000"/>
          <w:sz w:val="36"/>
          <w:szCs w:val="36"/>
        </w:rPr>
        <w:t>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相关要求说明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材料标准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用材标准：所用钢板均采用优质一级冷轧钢板。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二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款式结构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固定架主要由架体、底架（座）、防护装置组成。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70" w:firstLineChars="196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1. </w:t>
      </w:r>
      <w:r>
        <w:rPr>
          <w:rFonts w:hint="eastAsia" w:ascii="宋体" w:hAnsi="宋体" w:cs="宋体"/>
          <w:sz w:val="24"/>
          <w:szCs w:val="24"/>
        </w:rPr>
        <w:t>底架为分段组合式，加工精度高，具有对接互换性，便于运输和安装，并设有防倾倒装置，防止架体倾倒。用材厚度为1.5mm热轧钢板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架体长期荷重存放资料不变形。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2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/>
          <w:b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立柱采用1.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mm优质冷轧钢板一体成型工艺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立柱成型尺寸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不小于</w:t>
      </w:r>
      <w:r>
        <w:rPr>
          <w:rFonts w:hint="eastAsia" w:ascii="宋体" w:hAnsi="宋体" w:cs="宋体"/>
          <w:sz w:val="24"/>
          <w:szCs w:val="24"/>
        </w:rPr>
        <w:t>50X50mm。侧面设有双排立柱调节孔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2" w:firstLine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/>
          <w:b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金属表面耐腐蚀涂层对基体的保护等级为10级，涂层本身的耐腐蚀等级为10级；重金属可溶性铅、可溶性镉、可溶性铬、可溶性汞均＜5mg/kg，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响应</w:t>
      </w:r>
      <w:r>
        <w:rPr>
          <w:rFonts w:hint="eastAsia" w:ascii="宋体" w:hAnsi="宋体" w:cs="宋体"/>
          <w:b/>
          <w:bCs/>
          <w:sz w:val="24"/>
          <w:szCs w:val="24"/>
        </w:rPr>
        <w:t>文</w:t>
      </w:r>
      <w:r>
        <w:rPr>
          <w:rFonts w:hint="eastAsia" w:ascii="宋体" w:hAnsi="宋体" w:cs="宋体"/>
          <w:b/>
          <w:sz w:val="24"/>
          <w:szCs w:val="24"/>
        </w:rPr>
        <w:t>件中提供第三方有权机构出具的具有CMA 标识的产品零部件（多折弯立柱）的检测报告扫描件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检测内容依据 GB/T3325-2017《金属家具通用技术条件》、QB/T3826-1999《轻工产品金属镀层和化学处理层的耐腐蚀试验方法 中性盐雾试验（NSS）法》、HG/T2006-2006《热固性粉末涂料》，金属表面耐腐蚀涂层对基体的保护等级为10级，涂层本身的耐腐蚀等级为10级。重金属可溶性铅、可溶性镉、可溶性铬、可溶性汞均＜5mg/kg。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2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/>
          <w:b/>
          <w:sz w:val="24"/>
          <w:szCs w:val="24"/>
        </w:rPr>
        <w:t>★</w:t>
      </w:r>
      <w:r>
        <w:rPr>
          <w:rFonts w:hint="eastAsia" w:ascii="宋体" w:hAnsi="宋体"/>
          <w:bCs/>
          <w:kern w:val="0"/>
          <w:sz w:val="24"/>
          <w:szCs w:val="24"/>
        </w:rPr>
        <w:t>搁板：</w:t>
      </w:r>
      <w:r>
        <w:rPr>
          <w:rFonts w:hint="eastAsia" w:ascii="宋体" w:hAnsi="宋体" w:cs="宋体"/>
          <w:sz w:val="24"/>
          <w:szCs w:val="24"/>
        </w:rPr>
        <w:t>搁板采用1.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sz w:val="24"/>
          <w:szCs w:val="24"/>
        </w:rPr>
        <w:t>mm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及以上</w:t>
      </w:r>
      <w:r>
        <w:rPr>
          <w:rFonts w:hint="eastAsia" w:ascii="宋体" w:hAnsi="宋体" w:cs="宋体"/>
          <w:sz w:val="24"/>
          <w:szCs w:val="24"/>
        </w:rPr>
        <w:t>的优质冷轧钢板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/>
          <w:b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金属表面耐腐蚀涂层对基体的保护等级为10级，涂层本身的耐腐蚀等级为10级；重金属可溶性铅、可溶性镉、可溶性铬、可溶性汞均＜5mg/kg，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 w:cs="宋体"/>
          <w:b/>
          <w:sz w:val="24"/>
          <w:szCs w:val="24"/>
        </w:rPr>
        <w:t>文件中提供第三方有权机构出具的具有CMA 标识的所投产品零部件（多折防脱落搁板）的检测报告扫描件，</w:t>
      </w:r>
      <w:r>
        <w:rPr>
          <w:rFonts w:hint="eastAsia" w:ascii="宋体" w:hAnsi="宋体" w:cs="宋体"/>
          <w:sz w:val="24"/>
          <w:szCs w:val="24"/>
        </w:rPr>
        <w:t>检测内容依据 GB/T3325-2017《金属家具通用技术条件》、QB/T3826-1999《轻工产品金属镀层和化学处理层的耐腐蚀试验方法 中性盐雾试验（NSS）法》、HG/T2006-2006《热固性粉末涂料》，金属表面耐腐蚀涂层对基体的保护等级为10级，涂层本身的耐腐蚀等级为10级。重金属可溶性铅、可溶性镉、可溶性铬、可溶性汞均＜5mg/kg。搁板负载载重80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6. </w:t>
      </w:r>
      <w:r>
        <w:rPr>
          <w:rFonts w:hint="eastAsia" w:ascii="宋体" w:hAnsi="宋体" w:cs="宋体"/>
          <w:sz w:val="24"/>
          <w:szCs w:val="24"/>
        </w:rPr>
        <w:t>立板：采用1.0mm的优质冷轧钢板。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7. </w:t>
      </w:r>
      <w:r>
        <w:rPr>
          <w:rFonts w:hint="eastAsia" w:ascii="宋体" w:hAnsi="宋体" w:cs="宋体"/>
          <w:sz w:val="24"/>
          <w:szCs w:val="24"/>
        </w:rPr>
        <w:t>侧板：采用1.0mm</w:t>
      </w:r>
      <w:r>
        <w:rPr>
          <w:rFonts w:hint="eastAsia" w:ascii="宋体" w:hAnsi="宋体" w:cs="宋体"/>
          <w:sz w:val="24"/>
          <w:szCs w:val="24"/>
          <w:lang w:eastAsia="zh-CN"/>
        </w:rPr>
        <w:t>的</w:t>
      </w:r>
      <w:r>
        <w:rPr>
          <w:rFonts w:hint="eastAsia" w:ascii="宋体" w:hAnsi="宋体" w:cs="宋体"/>
          <w:sz w:val="24"/>
          <w:szCs w:val="24"/>
        </w:rPr>
        <w:t>优质冷轧钢板。侧板正面采用压双筋加固提高抗压能力。目录牌为不锈钢制造。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8. </w:t>
      </w:r>
      <w:r>
        <w:rPr>
          <w:rFonts w:hint="eastAsia" w:ascii="宋体" w:hAnsi="宋体" w:cs="宋体"/>
          <w:sz w:val="24"/>
          <w:szCs w:val="24"/>
        </w:rPr>
        <w:t>挂板：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采</w:t>
      </w:r>
      <w:r>
        <w:rPr>
          <w:rFonts w:hint="eastAsia" w:ascii="宋体" w:hAnsi="宋体" w:cs="宋体"/>
          <w:sz w:val="24"/>
          <w:szCs w:val="24"/>
        </w:rPr>
        <w:t>用</w:t>
      </w:r>
      <w:r>
        <w:rPr>
          <w:rFonts w:ascii="宋体" w:hAnsi="宋体" w:cs="宋体"/>
          <w:sz w:val="24"/>
          <w:szCs w:val="24"/>
        </w:rPr>
        <w:t>1.0mm</w:t>
      </w:r>
      <w:r>
        <w:rPr>
          <w:rFonts w:hint="eastAsia" w:ascii="宋体" w:hAnsi="宋体" w:cs="宋体"/>
          <w:sz w:val="24"/>
          <w:szCs w:val="24"/>
        </w:rPr>
        <w:t>的优质冷轧钢板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挂板与立柱合为一体成为一个平面。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9. </w:t>
      </w:r>
      <w:r>
        <w:rPr>
          <w:rFonts w:hint="eastAsia" w:ascii="宋体" w:hAnsi="宋体"/>
          <w:b/>
          <w:sz w:val="24"/>
          <w:szCs w:val="24"/>
        </w:rPr>
        <w:t>★</w:t>
      </w:r>
      <w:r>
        <w:rPr>
          <w:rFonts w:hint="eastAsia" w:ascii="宋体" w:hAnsi="宋体" w:cs="宋体"/>
          <w:bCs/>
          <w:sz w:val="24"/>
          <w:szCs w:val="24"/>
        </w:rPr>
        <w:t>档棒：每二块搁板中间设有一根档棒，便于分隔架体双面存放档案，材料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采</w:t>
      </w:r>
      <w:r>
        <w:rPr>
          <w:rFonts w:hint="eastAsia" w:ascii="宋体" w:hAnsi="宋体" w:cs="宋体"/>
          <w:bCs/>
          <w:sz w:val="24"/>
          <w:szCs w:val="24"/>
        </w:rPr>
        <w:t>用1.0mm的优质冷轧钢板，成型尺寸为15mm*15mm,四道弯边设计，三面压筋，顶面与侧面圆角过渡。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10. </w:t>
      </w:r>
      <w:r>
        <w:rPr>
          <w:rFonts w:hint="eastAsia" w:ascii="宋体" w:hAnsi="宋体" w:cs="宋体"/>
          <w:bCs/>
          <w:sz w:val="24"/>
          <w:szCs w:val="24"/>
        </w:rPr>
        <w:t>门板：门面板安装在固定架的两侧，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采</w:t>
      </w:r>
      <w:r>
        <w:rPr>
          <w:rFonts w:hint="eastAsia" w:ascii="宋体" w:hAnsi="宋体" w:cs="宋体"/>
          <w:bCs/>
          <w:sz w:val="24"/>
          <w:szCs w:val="24"/>
        </w:rPr>
        <w:t>用厚度为1.0mm的优质冷轧钢板。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 xml:space="preserve">11. </w:t>
      </w:r>
      <w:r>
        <w:rPr>
          <w:rFonts w:hint="eastAsia" w:ascii="宋体" w:hAnsi="宋体" w:cs="宋体"/>
          <w:bCs/>
          <w:sz w:val="24"/>
          <w:szCs w:val="24"/>
        </w:rPr>
        <w:t>顶板：顶板为整体平板，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采</w:t>
      </w:r>
      <w:r>
        <w:rPr>
          <w:rFonts w:hint="eastAsia" w:ascii="宋体" w:hAnsi="宋体" w:cs="宋体"/>
          <w:bCs/>
          <w:sz w:val="24"/>
          <w:szCs w:val="24"/>
        </w:rPr>
        <w:t>用厚度为0.6mm的优质冷轧钢板。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12. </w:t>
      </w:r>
      <w:r>
        <w:rPr>
          <w:rFonts w:hint="eastAsia" w:ascii="宋体" w:hAnsi="宋体"/>
          <w:sz w:val="24"/>
          <w:szCs w:val="24"/>
        </w:rPr>
        <w:t xml:space="preserve">★钢制部分的紧固件：紧固件抗拉强度≥900MPa，依据GB/T228.1-2010《金属材料拉伸试验》。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文件中提供第三方有权机构出具的具有 CMA 标识的所投产品零部件紧固件的检测报告扫描件加以证明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13. </w:t>
      </w:r>
      <w:r>
        <w:rPr>
          <w:rFonts w:hint="eastAsia" w:ascii="宋体" w:hAnsi="宋体"/>
          <w:sz w:val="24"/>
          <w:szCs w:val="24"/>
        </w:rPr>
        <w:t xml:space="preserve">★所投产品钢制部分的冷轧钢板（涂层）GB/T1771-2007 盐雾测试，测试时间：不低于600H，测试条件盐水浓度：5%Nacl，PH 值：6.5-7.2，表面无变化、无异常、裂纹、剥落及起皱，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文件中提供第三方有权机构出具的具有CMA 标识的所投产品的检测报告扫描件加以证明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80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14. </w:t>
      </w:r>
      <w:r>
        <w:rPr>
          <w:rFonts w:hint="eastAsia" w:ascii="宋体" w:hAnsi="宋体"/>
          <w:sz w:val="24"/>
          <w:szCs w:val="24"/>
        </w:rPr>
        <w:t>★所投产品钢制部分的冷轧钢板（涂层）GB/T9274-1998耐酸测试，测试时间：不低于600H，</w:t>
      </w:r>
      <w:r>
        <w:rPr>
          <w:rFonts w:hint="eastAsia" w:ascii="宋体" w:hAnsi="宋体" w:cs="宋体"/>
          <w:sz w:val="24"/>
          <w:szCs w:val="24"/>
        </w:rPr>
        <w:t>冷轧钢板在温度21.3度，湿度48%RH环境中耐酸无变化、无异常、裂纹、剥落、无起皱，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 w:cs="宋体"/>
          <w:b/>
          <w:sz w:val="24"/>
          <w:szCs w:val="24"/>
        </w:rPr>
        <w:t>文件中提供第三方有权机构出具的具有CMA 标识的所投产品零部件的冷轧钢板（涂层）的检测报告扫描件。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表面处理：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ascii="宋体" w:hAnsi="宋体"/>
          <w:color w:val="0000FF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所有钢制部件的表面处理是热固性塑粉喷涂。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金属喷塑硬度：不低于</w:t>
      </w:r>
      <w:r>
        <w:rPr>
          <w:rFonts w:ascii="宋体" w:hAnsi="宋体" w:cs="宋体"/>
          <w:sz w:val="24"/>
          <w:szCs w:val="24"/>
        </w:rPr>
        <w:t>H</w:t>
      </w:r>
      <w:r>
        <w:rPr>
          <w:rFonts w:hint="eastAsia" w:ascii="宋体" w:hAnsi="宋体" w:cs="宋体"/>
          <w:sz w:val="24"/>
          <w:szCs w:val="24"/>
        </w:rPr>
        <w:t>试验合格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文件中提供第三方有权机构出具的档案固定架（书架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b/>
          <w:sz w:val="24"/>
          <w:szCs w:val="24"/>
        </w:rPr>
        <w:t>密集架）检测报告扫描件加以证明 ，</w:t>
      </w:r>
      <w:r>
        <w:rPr>
          <w:rFonts w:hint="eastAsia" w:ascii="宋体" w:hAnsi="宋体"/>
          <w:sz w:val="24"/>
          <w:szCs w:val="24"/>
        </w:rPr>
        <w:t>如未能体现或负偏离，视为对技术参数不满足）。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冲击强度：</w:t>
      </w:r>
      <w:r>
        <w:rPr>
          <w:rFonts w:hint="eastAsia"/>
          <w:sz w:val="24"/>
          <w:szCs w:val="24"/>
        </w:rPr>
        <w:t>冲击高度40cm，应无剥落、裂纹、皱纹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文件中提供第三方有权机构出具的档案固定架（书架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b/>
          <w:sz w:val="24"/>
          <w:szCs w:val="24"/>
        </w:rPr>
        <w:t>密集架）检测报告扫描件加以证明 ，</w:t>
      </w:r>
      <w:r>
        <w:rPr>
          <w:rFonts w:hint="eastAsia" w:ascii="宋体" w:hAnsi="宋体"/>
          <w:sz w:val="24"/>
          <w:szCs w:val="24"/>
        </w:rPr>
        <w:t>如未能体现或负偏离，视为对技术参数不满足）。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金属喷塑涂层附着力：划格法试验，</w:t>
      </w:r>
      <w:r>
        <w:rPr>
          <w:rFonts w:ascii="宋体" w:hAnsi="宋体" w:cs="宋体"/>
          <w:sz w:val="24"/>
          <w:szCs w:val="24"/>
        </w:rPr>
        <w:t>100%</w:t>
      </w:r>
      <w:r>
        <w:rPr>
          <w:rFonts w:hint="eastAsia" w:ascii="宋体" w:hAnsi="宋体" w:cs="宋体"/>
          <w:sz w:val="24"/>
          <w:szCs w:val="24"/>
        </w:rPr>
        <w:t>不剥落，不低于2级</w:t>
      </w:r>
      <w:r>
        <w:rPr>
          <w:rFonts w:hint="eastAsia" w:ascii="宋体" w:hAnsi="宋体"/>
          <w:b/>
          <w:sz w:val="24"/>
          <w:szCs w:val="24"/>
        </w:rPr>
        <w:t xml:space="preserve">（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文件中提供第三方有权机构出具的档案固定架（书架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b/>
          <w:sz w:val="24"/>
          <w:szCs w:val="24"/>
        </w:rPr>
        <w:t>密集架）检测报告扫描件加以证明 ，</w:t>
      </w:r>
      <w:r>
        <w:rPr>
          <w:rFonts w:hint="eastAsia" w:ascii="宋体" w:hAnsi="宋体"/>
          <w:sz w:val="24"/>
          <w:szCs w:val="24"/>
        </w:rPr>
        <w:t>如未能体现或负偏离，视为对技术参数不满足）。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金属喷塑耐腐蚀：耐腐蚀（浓度为3%的氯化钠溶液）100h内，观察在溶液中的样板上划道两侧3mm以外，应无鼓泡产生；100h后，检查划道两侧3mm以外，应无锈迹、剥落、起皱、变色和失光等现象。</w:t>
      </w:r>
      <w:r>
        <w:rPr>
          <w:rFonts w:hint="eastAsia" w:ascii="宋体" w:hAnsi="宋体"/>
          <w:b/>
          <w:sz w:val="24"/>
          <w:szCs w:val="24"/>
        </w:rPr>
        <w:t xml:space="preserve">（ </w:t>
      </w:r>
      <w:r>
        <w:rPr>
          <w:rFonts w:hint="eastAsia" w:ascii="宋体" w:hAnsi="宋体"/>
          <w:b/>
          <w:sz w:val="24"/>
          <w:szCs w:val="24"/>
          <w:lang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文件中提供第三方有权机构出具的档案固定架（书架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b/>
          <w:sz w:val="24"/>
          <w:szCs w:val="24"/>
        </w:rPr>
        <w:t>密集架）检测报告扫描件加以证明 ，</w:t>
      </w:r>
      <w:r>
        <w:rPr>
          <w:rFonts w:hint="eastAsia" w:ascii="宋体" w:hAnsi="宋体"/>
          <w:sz w:val="24"/>
          <w:szCs w:val="24"/>
        </w:rPr>
        <w:t>如未能体现或负偏离，视为对技术参数不满足）。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制造要求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1. </w:t>
      </w:r>
      <w:r>
        <w:rPr>
          <w:rFonts w:hint="eastAsia" w:ascii="宋体" w:hAnsi="宋体" w:cs="宋体"/>
          <w:sz w:val="24"/>
          <w:szCs w:val="24"/>
        </w:rPr>
        <w:t>凡需焊接的部位应焊接牢固，焊点均匀，焊点间距应控制在100mm以内，焊痕表面波纹平整，不得出现焊焦、焊穿等现象。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cs="宋体"/>
          <w:sz w:val="24"/>
          <w:szCs w:val="24"/>
        </w:rPr>
        <w:t>冲压件必须平整无毛刺，不允许有裂痕。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3. </w:t>
      </w:r>
      <w:r>
        <w:rPr>
          <w:rFonts w:hint="eastAsia" w:ascii="宋体" w:hAnsi="宋体" w:cs="宋体"/>
          <w:sz w:val="24"/>
          <w:szCs w:val="24"/>
        </w:rPr>
        <w:t>折弯必须到位，以确保工件折弯所需角度。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4. </w:t>
      </w:r>
      <w:r>
        <w:rPr>
          <w:rFonts w:hint="eastAsia" w:ascii="宋体" w:hAnsi="宋体" w:cs="宋体"/>
          <w:sz w:val="24"/>
          <w:szCs w:val="24"/>
        </w:rPr>
        <w:t>涂层表面应平整光滑，色泽均匀一致，不允许有流挂、起粒、皱皮、露底、剥落、伤痕等外观缺陷。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5. </w:t>
      </w:r>
      <w:r>
        <w:rPr>
          <w:rFonts w:hint="eastAsia" w:ascii="宋体" w:hAnsi="宋体" w:cs="宋体"/>
          <w:sz w:val="24"/>
          <w:szCs w:val="24"/>
        </w:rPr>
        <w:t>各零件、组合件表面应光滑平整，不得有尖角凸起；各零件、组合件之间能保持互换性。所有标准件及紧固件均需氧化或镀锌处理。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载重性能要求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 w:hAnsi="宋体" w:cs="宋体"/>
          <w:sz w:val="24"/>
          <w:szCs w:val="24"/>
        </w:rPr>
        <w:t>搁板全静载荷、弯曲：档案固定架的每层搁板上加均布静载荷，经24h连续试验卸载后，档案固定架的挂板、搁板、立柱及其结合部位应无塑性变形和其他异常现象最大挠度应不大于4.00mm，残余变形量应不大于0.30mm</w:t>
      </w:r>
      <w:r>
        <w:rPr>
          <w:rFonts w:hint="eastAsia" w:ascii="宋体" w:hAnsi="宋体"/>
          <w:b/>
          <w:sz w:val="24"/>
          <w:szCs w:val="24"/>
        </w:rPr>
        <w:t>（</w:t>
      </w:r>
      <w:r>
        <w:rPr>
          <w:rFonts w:hint="eastAsia" w:ascii="宋体" w:hAnsi="宋体"/>
          <w:b/>
          <w:sz w:val="24"/>
          <w:szCs w:val="24"/>
          <w:lang w:eastAsia="zh-CN"/>
        </w:rPr>
        <w:t>响应</w:t>
      </w:r>
      <w:r>
        <w:rPr>
          <w:rFonts w:hint="eastAsia" w:ascii="宋体" w:hAnsi="宋体"/>
          <w:b/>
          <w:sz w:val="24"/>
          <w:szCs w:val="24"/>
        </w:rPr>
        <w:t>文件中提供第三方有权机构出具的密集架检测报告扫描件加以证明 ，</w:t>
      </w:r>
      <w:r>
        <w:rPr>
          <w:rFonts w:hint="eastAsia" w:ascii="宋体" w:hAnsi="宋体"/>
          <w:sz w:val="24"/>
          <w:szCs w:val="24"/>
        </w:rPr>
        <w:t>如未能体现或负偏离，视为对技术参数不满足）。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3" w:firstLineChars="192"/>
        <w:textAlignment w:val="auto"/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/>
          <w:sz w:val="24"/>
          <w:szCs w:val="24"/>
        </w:rPr>
        <w:t>安装要求：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atLeast"/>
        <w:ind w:firstLine="460" w:firstLineChars="192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各部安装应牢固可靠，不允许有松动现象，各结构件和架体无明显变形，架体无倾斜现象。</w:t>
      </w:r>
    </w:p>
    <w:p>
      <w:pPr>
        <w:pStyle w:val="2"/>
        <w:rPr>
          <w:rFonts w:hint="eastAsia" w:ascii="宋体" w:hAnsi="宋体" w:eastAsia="宋体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Cs w:val="0"/>
          <w:color w:val="000000"/>
          <w:sz w:val="36"/>
          <w:szCs w:val="36"/>
          <w:lang w:val="en-US" w:eastAsia="zh-CN"/>
        </w:rPr>
        <w:t>三、平面图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/>
          <w:sz w:val="24"/>
          <w:szCs w:val="28"/>
          <w:lang w:eastAsia="zh-CN"/>
        </w:rPr>
      </w:pPr>
      <w:r>
        <w:rPr>
          <w:rFonts w:hint="eastAsia" w:ascii="宋体" w:hAnsi="宋体" w:eastAsia="宋体"/>
          <w:b/>
          <w:color w:val="000000"/>
          <w:sz w:val="24"/>
          <w:szCs w:val="28"/>
          <w:lang w:eastAsia="zh-CN"/>
        </w:rPr>
        <w:drawing>
          <wp:inline distT="0" distB="0" distL="114300" distR="114300">
            <wp:extent cx="5347970" cy="4832985"/>
            <wp:effectExtent l="0" t="0" r="1270" b="5715"/>
            <wp:docPr id="1" name="图片 1" descr="b5ce2cbebc7c6302a7e3539b6adf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ce2cbebc7c6302a7e3539b6adf1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ODA5Yjk3YjI2MmIzOWFlMDY4YWRjMzNkZGRmMzYifQ=="/>
  </w:docVars>
  <w:rsids>
    <w:rsidRoot w:val="00AB791F"/>
    <w:rsid w:val="0001446A"/>
    <w:rsid w:val="000157BE"/>
    <w:rsid w:val="00034291"/>
    <w:rsid w:val="00042C0F"/>
    <w:rsid w:val="00042E04"/>
    <w:rsid w:val="000441B8"/>
    <w:rsid w:val="00046AB6"/>
    <w:rsid w:val="00060459"/>
    <w:rsid w:val="00072E53"/>
    <w:rsid w:val="00082018"/>
    <w:rsid w:val="00086C1C"/>
    <w:rsid w:val="00097537"/>
    <w:rsid w:val="000A711B"/>
    <w:rsid w:val="000D75D3"/>
    <w:rsid w:val="000E1861"/>
    <w:rsid w:val="000E2A93"/>
    <w:rsid w:val="000E3EE3"/>
    <w:rsid w:val="001005EB"/>
    <w:rsid w:val="00104D27"/>
    <w:rsid w:val="0011109E"/>
    <w:rsid w:val="001134BA"/>
    <w:rsid w:val="00117C49"/>
    <w:rsid w:val="00121892"/>
    <w:rsid w:val="00124758"/>
    <w:rsid w:val="001248FB"/>
    <w:rsid w:val="00124C02"/>
    <w:rsid w:val="0012759E"/>
    <w:rsid w:val="00130C8E"/>
    <w:rsid w:val="00130EA1"/>
    <w:rsid w:val="00150972"/>
    <w:rsid w:val="00155B9B"/>
    <w:rsid w:val="00161CB1"/>
    <w:rsid w:val="00163296"/>
    <w:rsid w:val="001644A6"/>
    <w:rsid w:val="00174D7E"/>
    <w:rsid w:val="00182072"/>
    <w:rsid w:val="00183B4A"/>
    <w:rsid w:val="00184BD3"/>
    <w:rsid w:val="00186404"/>
    <w:rsid w:val="00192614"/>
    <w:rsid w:val="001A7249"/>
    <w:rsid w:val="001B3D46"/>
    <w:rsid w:val="001C016A"/>
    <w:rsid w:val="001C11A8"/>
    <w:rsid w:val="001C2194"/>
    <w:rsid w:val="001E3714"/>
    <w:rsid w:val="00201D22"/>
    <w:rsid w:val="00203D1B"/>
    <w:rsid w:val="00206613"/>
    <w:rsid w:val="002161E9"/>
    <w:rsid w:val="00220173"/>
    <w:rsid w:val="00223ACA"/>
    <w:rsid w:val="00223E89"/>
    <w:rsid w:val="00232AC6"/>
    <w:rsid w:val="00241630"/>
    <w:rsid w:val="002417BB"/>
    <w:rsid w:val="0024394D"/>
    <w:rsid w:val="002509BD"/>
    <w:rsid w:val="002655A5"/>
    <w:rsid w:val="0027199F"/>
    <w:rsid w:val="0028566B"/>
    <w:rsid w:val="002873D5"/>
    <w:rsid w:val="002A0EB8"/>
    <w:rsid w:val="002A12DA"/>
    <w:rsid w:val="002A5C3C"/>
    <w:rsid w:val="002B5937"/>
    <w:rsid w:val="002D681F"/>
    <w:rsid w:val="002E3BC2"/>
    <w:rsid w:val="002F1651"/>
    <w:rsid w:val="0030714D"/>
    <w:rsid w:val="00310BED"/>
    <w:rsid w:val="00326696"/>
    <w:rsid w:val="0032705D"/>
    <w:rsid w:val="00327F8C"/>
    <w:rsid w:val="00334703"/>
    <w:rsid w:val="0033762D"/>
    <w:rsid w:val="00344AAA"/>
    <w:rsid w:val="003463EF"/>
    <w:rsid w:val="0035472A"/>
    <w:rsid w:val="003665D5"/>
    <w:rsid w:val="003746D0"/>
    <w:rsid w:val="0037761E"/>
    <w:rsid w:val="003A20CF"/>
    <w:rsid w:val="003A4D64"/>
    <w:rsid w:val="003C1088"/>
    <w:rsid w:val="003D0BF0"/>
    <w:rsid w:val="003D7FAC"/>
    <w:rsid w:val="003F3268"/>
    <w:rsid w:val="00403447"/>
    <w:rsid w:val="00421A2D"/>
    <w:rsid w:val="00430F89"/>
    <w:rsid w:val="00453392"/>
    <w:rsid w:val="004642CA"/>
    <w:rsid w:val="00467360"/>
    <w:rsid w:val="004738DF"/>
    <w:rsid w:val="004A1C4D"/>
    <w:rsid w:val="004A7C42"/>
    <w:rsid w:val="004C111F"/>
    <w:rsid w:val="004C5012"/>
    <w:rsid w:val="004E3A8D"/>
    <w:rsid w:val="004E70F8"/>
    <w:rsid w:val="004F0AA7"/>
    <w:rsid w:val="004F2A5B"/>
    <w:rsid w:val="004F7758"/>
    <w:rsid w:val="00501237"/>
    <w:rsid w:val="0050241D"/>
    <w:rsid w:val="00511BAE"/>
    <w:rsid w:val="00516E2E"/>
    <w:rsid w:val="0052215F"/>
    <w:rsid w:val="0054398F"/>
    <w:rsid w:val="00547778"/>
    <w:rsid w:val="00552DF8"/>
    <w:rsid w:val="005543E2"/>
    <w:rsid w:val="00557BDA"/>
    <w:rsid w:val="00560BAE"/>
    <w:rsid w:val="00563AED"/>
    <w:rsid w:val="005665B8"/>
    <w:rsid w:val="005703E6"/>
    <w:rsid w:val="005760DD"/>
    <w:rsid w:val="00576774"/>
    <w:rsid w:val="00585E7A"/>
    <w:rsid w:val="00592AE7"/>
    <w:rsid w:val="005B0FAD"/>
    <w:rsid w:val="005B26FC"/>
    <w:rsid w:val="005B44EC"/>
    <w:rsid w:val="005D4912"/>
    <w:rsid w:val="005E5BBF"/>
    <w:rsid w:val="005F2639"/>
    <w:rsid w:val="005F399C"/>
    <w:rsid w:val="00600D69"/>
    <w:rsid w:val="006133EB"/>
    <w:rsid w:val="00633355"/>
    <w:rsid w:val="0065122A"/>
    <w:rsid w:val="00651B49"/>
    <w:rsid w:val="0065451B"/>
    <w:rsid w:val="00685B83"/>
    <w:rsid w:val="0069072F"/>
    <w:rsid w:val="006A29A7"/>
    <w:rsid w:val="006B4926"/>
    <w:rsid w:val="006F0E2E"/>
    <w:rsid w:val="006F5589"/>
    <w:rsid w:val="00711DAA"/>
    <w:rsid w:val="007340B5"/>
    <w:rsid w:val="00737B2B"/>
    <w:rsid w:val="00743034"/>
    <w:rsid w:val="007511FF"/>
    <w:rsid w:val="00773BD2"/>
    <w:rsid w:val="00774F87"/>
    <w:rsid w:val="0077538F"/>
    <w:rsid w:val="00783077"/>
    <w:rsid w:val="00790BEF"/>
    <w:rsid w:val="007941A5"/>
    <w:rsid w:val="007A01D5"/>
    <w:rsid w:val="007A3ED9"/>
    <w:rsid w:val="007C5A7A"/>
    <w:rsid w:val="007D320D"/>
    <w:rsid w:val="007E687B"/>
    <w:rsid w:val="007F251B"/>
    <w:rsid w:val="007F376A"/>
    <w:rsid w:val="007F4B3E"/>
    <w:rsid w:val="00800CA0"/>
    <w:rsid w:val="00825B5A"/>
    <w:rsid w:val="00832016"/>
    <w:rsid w:val="00837574"/>
    <w:rsid w:val="00841FC0"/>
    <w:rsid w:val="00846513"/>
    <w:rsid w:val="00855918"/>
    <w:rsid w:val="00857E40"/>
    <w:rsid w:val="00864CD4"/>
    <w:rsid w:val="0086793E"/>
    <w:rsid w:val="008816AE"/>
    <w:rsid w:val="008A7638"/>
    <w:rsid w:val="008B0547"/>
    <w:rsid w:val="008B4131"/>
    <w:rsid w:val="008C2865"/>
    <w:rsid w:val="008C6BE8"/>
    <w:rsid w:val="008D0C02"/>
    <w:rsid w:val="008D6170"/>
    <w:rsid w:val="008E6C29"/>
    <w:rsid w:val="008F293F"/>
    <w:rsid w:val="0090052A"/>
    <w:rsid w:val="00921766"/>
    <w:rsid w:val="00927FE9"/>
    <w:rsid w:val="00944EAF"/>
    <w:rsid w:val="00951A38"/>
    <w:rsid w:val="00984FC5"/>
    <w:rsid w:val="009938EE"/>
    <w:rsid w:val="0099790B"/>
    <w:rsid w:val="009A5896"/>
    <w:rsid w:val="009A64DE"/>
    <w:rsid w:val="009D15ED"/>
    <w:rsid w:val="009D3C88"/>
    <w:rsid w:val="009E7BC1"/>
    <w:rsid w:val="009F20BF"/>
    <w:rsid w:val="00A351D3"/>
    <w:rsid w:val="00A4711F"/>
    <w:rsid w:val="00A4797D"/>
    <w:rsid w:val="00A57600"/>
    <w:rsid w:val="00A71EF2"/>
    <w:rsid w:val="00A73F3C"/>
    <w:rsid w:val="00A81A8E"/>
    <w:rsid w:val="00A9785A"/>
    <w:rsid w:val="00AA5ACB"/>
    <w:rsid w:val="00AB791F"/>
    <w:rsid w:val="00AE686C"/>
    <w:rsid w:val="00B04301"/>
    <w:rsid w:val="00B13E16"/>
    <w:rsid w:val="00B1440D"/>
    <w:rsid w:val="00B25ABC"/>
    <w:rsid w:val="00B52189"/>
    <w:rsid w:val="00B54B1D"/>
    <w:rsid w:val="00B60354"/>
    <w:rsid w:val="00B65544"/>
    <w:rsid w:val="00B657B3"/>
    <w:rsid w:val="00B8490B"/>
    <w:rsid w:val="00BA3717"/>
    <w:rsid w:val="00BA3954"/>
    <w:rsid w:val="00BA5046"/>
    <w:rsid w:val="00C0055C"/>
    <w:rsid w:val="00C073D1"/>
    <w:rsid w:val="00C32046"/>
    <w:rsid w:val="00C33B4A"/>
    <w:rsid w:val="00C443D8"/>
    <w:rsid w:val="00C455A9"/>
    <w:rsid w:val="00C54A69"/>
    <w:rsid w:val="00C63390"/>
    <w:rsid w:val="00C74F12"/>
    <w:rsid w:val="00C80DE3"/>
    <w:rsid w:val="00C81C8F"/>
    <w:rsid w:val="00C90348"/>
    <w:rsid w:val="00CA005F"/>
    <w:rsid w:val="00CB0D9A"/>
    <w:rsid w:val="00CB6467"/>
    <w:rsid w:val="00CC3F4F"/>
    <w:rsid w:val="00CC597D"/>
    <w:rsid w:val="00CD1A9C"/>
    <w:rsid w:val="00CD5D16"/>
    <w:rsid w:val="00CE0DD1"/>
    <w:rsid w:val="00D00C21"/>
    <w:rsid w:val="00D23B46"/>
    <w:rsid w:val="00D40421"/>
    <w:rsid w:val="00D54135"/>
    <w:rsid w:val="00D66948"/>
    <w:rsid w:val="00D818D7"/>
    <w:rsid w:val="00D9035E"/>
    <w:rsid w:val="00D94649"/>
    <w:rsid w:val="00DB3FFC"/>
    <w:rsid w:val="00DB5364"/>
    <w:rsid w:val="00DB76E7"/>
    <w:rsid w:val="00DC2426"/>
    <w:rsid w:val="00DE5840"/>
    <w:rsid w:val="00DE6863"/>
    <w:rsid w:val="00DF4774"/>
    <w:rsid w:val="00E1633F"/>
    <w:rsid w:val="00E34A4B"/>
    <w:rsid w:val="00E36DEB"/>
    <w:rsid w:val="00E42176"/>
    <w:rsid w:val="00E64B11"/>
    <w:rsid w:val="00E731C9"/>
    <w:rsid w:val="00E869C9"/>
    <w:rsid w:val="00E91AB9"/>
    <w:rsid w:val="00EA0FFC"/>
    <w:rsid w:val="00EB12F6"/>
    <w:rsid w:val="00EB3713"/>
    <w:rsid w:val="00EB4111"/>
    <w:rsid w:val="00EB4A07"/>
    <w:rsid w:val="00EC616B"/>
    <w:rsid w:val="00ED18A8"/>
    <w:rsid w:val="00EE3071"/>
    <w:rsid w:val="00F10D91"/>
    <w:rsid w:val="00F11098"/>
    <w:rsid w:val="00F117BD"/>
    <w:rsid w:val="00F13C1F"/>
    <w:rsid w:val="00F3672F"/>
    <w:rsid w:val="00F372CF"/>
    <w:rsid w:val="00F527ED"/>
    <w:rsid w:val="00F626FD"/>
    <w:rsid w:val="00F66ED3"/>
    <w:rsid w:val="00F67F77"/>
    <w:rsid w:val="00F7103F"/>
    <w:rsid w:val="00FC7261"/>
    <w:rsid w:val="00FD07CD"/>
    <w:rsid w:val="00FD2A84"/>
    <w:rsid w:val="00FD6138"/>
    <w:rsid w:val="00FF06AA"/>
    <w:rsid w:val="0A976724"/>
    <w:rsid w:val="0C71757E"/>
    <w:rsid w:val="0E511B0C"/>
    <w:rsid w:val="10C95CF3"/>
    <w:rsid w:val="169B322B"/>
    <w:rsid w:val="193718BC"/>
    <w:rsid w:val="227B68E8"/>
    <w:rsid w:val="24454B90"/>
    <w:rsid w:val="249535E1"/>
    <w:rsid w:val="2C8D59A4"/>
    <w:rsid w:val="2C8F3D3F"/>
    <w:rsid w:val="2DD0433A"/>
    <w:rsid w:val="32354105"/>
    <w:rsid w:val="329453D6"/>
    <w:rsid w:val="32D559A4"/>
    <w:rsid w:val="3442504B"/>
    <w:rsid w:val="34BC656C"/>
    <w:rsid w:val="363C6534"/>
    <w:rsid w:val="39D9565D"/>
    <w:rsid w:val="466A23EF"/>
    <w:rsid w:val="46D353BD"/>
    <w:rsid w:val="4A6873F9"/>
    <w:rsid w:val="4C8F3363"/>
    <w:rsid w:val="4D103C64"/>
    <w:rsid w:val="4DF80AFB"/>
    <w:rsid w:val="52F7625A"/>
    <w:rsid w:val="537C3EA9"/>
    <w:rsid w:val="55C6022E"/>
    <w:rsid w:val="56575559"/>
    <w:rsid w:val="592D64A7"/>
    <w:rsid w:val="5F8F05F4"/>
    <w:rsid w:val="63233AFF"/>
    <w:rsid w:val="665E7D23"/>
    <w:rsid w:val="68A92E30"/>
    <w:rsid w:val="6A08641A"/>
    <w:rsid w:val="6E7F2469"/>
    <w:rsid w:val="6FE67FF0"/>
    <w:rsid w:val="743A11CF"/>
    <w:rsid w:val="769936D1"/>
    <w:rsid w:val="77BA4B5D"/>
    <w:rsid w:val="7DD9764E"/>
    <w:rsid w:val="7E052C53"/>
    <w:rsid w:val="7E8A0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Plain Text"/>
    <w:basedOn w:val="1"/>
    <w:next w:val="1"/>
    <w:qFormat/>
    <w:uiPriority w:val="0"/>
    <w:rPr>
      <w:rFonts w:ascii="宋体" w:hAnsi="Courier New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16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 Char Char Char Char Char Char Char"/>
    <w:basedOn w:val="1"/>
    <w:qFormat/>
    <w:uiPriority w:val="0"/>
    <w:rPr>
      <w:rFonts w:ascii="Tahoma" w:hAnsi="Tahoma" w:cs="仿宋_GB2312"/>
      <w:sz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10</Pages>
  <Words>6501</Words>
  <Characters>7310</Characters>
  <Lines>59</Lines>
  <Paragraphs>16</Paragraphs>
  <TotalTime>4</TotalTime>
  <ScaleCrop>false</ScaleCrop>
  <LinksUpToDate>false</LinksUpToDate>
  <CharactersWithSpaces>7406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2021-12-21T02:05:00Z</dcterms:created>
  <dc:creator>NTKO</dc:creator>
  <cp:lastModifiedBy>蔡天行</cp:lastModifiedBy>
  <cp:lastPrinted>2021-09-12T23:53:00Z</cp:lastPrinted>
  <dcterms:modified xsi:type="dcterms:W3CDTF">2022-08-10T00:36:52Z</dcterms:modified>
  <dc:title>安徽合肥公共资源交易中心政府采购项目需求表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3DCBC3EEBB414145A239F71555031F64</vt:lpwstr>
  </property>
</Properties>
</file>