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B48" w:rsidRDefault="009B72E3">
      <w:pPr>
        <w:pStyle w:val="a4"/>
        <w:ind w:firstLineChars="0" w:firstLine="0"/>
      </w:pPr>
      <w:r>
        <w:rPr>
          <w:rFonts w:hint="eastAsia"/>
        </w:rPr>
        <w:t>法律顾问服务采购</w:t>
      </w:r>
      <w:r>
        <w:rPr>
          <w:rFonts w:hint="eastAsia"/>
        </w:rPr>
        <w:t>评分细则</w:t>
      </w:r>
    </w:p>
    <w:tbl>
      <w:tblPr>
        <w:tblStyle w:val="a3"/>
        <w:tblW w:w="8522" w:type="dxa"/>
        <w:jc w:val="center"/>
        <w:tblLayout w:type="fixed"/>
        <w:tblLook w:val="04A0" w:firstRow="1" w:lastRow="0" w:firstColumn="1" w:lastColumn="0" w:noHBand="0" w:noVBand="1"/>
      </w:tblPr>
      <w:tblGrid>
        <w:gridCol w:w="733"/>
        <w:gridCol w:w="1217"/>
        <w:gridCol w:w="725"/>
        <w:gridCol w:w="5060"/>
        <w:gridCol w:w="787"/>
      </w:tblGrid>
      <w:tr w:rsidR="00B80B48">
        <w:trPr>
          <w:jc w:val="center"/>
        </w:trPr>
        <w:tc>
          <w:tcPr>
            <w:tcW w:w="733" w:type="dxa"/>
            <w:vAlign w:val="center"/>
          </w:tcPr>
          <w:p w:rsidR="00B80B48" w:rsidRDefault="009B72E3">
            <w:pPr>
              <w:spacing w:line="400" w:lineRule="exact"/>
              <w:ind w:firstLineChars="0" w:firstLine="0"/>
              <w:jc w:val="center"/>
              <w:rPr>
                <w:rFonts w:ascii="黑体" w:eastAsia="黑体" w:hAnsi="黑体" w:cs="黑体"/>
              </w:rPr>
            </w:pPr>
            <w:r>
              <w:rPr>
                <w:rFonts w:ascii="黑体" w:eastAsia="黑体" w:hAnsi="黑体" w:cs="黑体" w:hint="eastAsia"/>
                <w:sz w:val="24"/>
              </w:rPr>
              <w:t>序号</w:t>
            </w:r>
          </w:p>
        </w:tc>
        <w:tc>
          <w:tcPr>
            <w:tcW w:w="1217" w:type="dxa"/>
            <w:vAlign w:val="center"/>
          </w:tcPr>
          <w:p w:rsidR="00B80B48" w:rsidRDefault="009B72E3">
            <w:pPr>
              <w:spacing w:line="400" w:lineRule="exact"/>
              <w:ind w:firstLineChars="0" w:firstLine="0"/>
              <w:jc w:val="center"/>
              <w:rPr>
                <w:rFonts w:ascii="黑体" w:eastAsia="黑体" w:hAnsi="黑体" w:cs="黑体"/>
              </w:rPr>
            </w:pPr>
            <w:r>
              <w:rPr>
                <w:rFonts w:ascii="黑体" w:eastAsia="黑体" w:hAnsi="黑体" w:cs="黑体" w:hint="eastAsia"/>
                <w:sz w:val="24"/>
              </w:rPr>
              <w:t>评分内容</w:t>
            </w:r>
          </w:p>
        </w:tc>
        <w:tc>
          <w:tcPr>
            <w:tcW w:w="725" w:type="dxa"/>
            <w:vAlign w:val="center"/>
          </w:tcPr>
          <w:p w:rsidR="00B80B48" w:rsidRDefault="009B72E3">
            <w:pPr>
              <w:spacing w:line="400" w:lineRule="exact"/>
              <w:ind w:firstLineChars="0" w:firstLine="0"/>
              <w:jc w:val="center"/>
              <w:rPr>
                <w:rFonts w:ascii="黑体" w:eastAsia="黑体" w:hAnsi="黑体" w:cs="黑体"/>
              </w:rPr>
            </w:pPr>
            <w:r>
              <w:rPr>
                <w:rFonts w:ascii="黑体" w:eastAsia="黑体" w:hAnsi="黑体" w:cs="黑体" w:hint="eastAsia"/>
                <w:sz w:val="24"/>
              </w:rPr>
              <w:t>分值</w:t>
            </w:r>
          </w:p>
        </w:tc>
        <w:tc>
          <w:tcPr>
            <w:tcW w:w="5060" w:type="dxa"/>
            <w:vAlign w:val="center"/>
          </w:tcPr>
          <w:p w:rsidR="00B80B48" w:rsidRDefault="009B72E3">
            <w:pPr>
              <w:spacing w:line="400" w:lineRule="exact"/>
              <w:ind w:firstLineChars="0" w:firstLine="0"/>
              <w:jc w:val="center"/>
              <w:rPr>
                <w:rFonts w:ascii="黑体" w:eastAsia="黑体" w:hAnsi="黑体" w:cs="黑体"/>
              </w:rPr>
            </w:pPr>
            <w:r>
              <w:rPr>
                <w:rFonts w:ascii="黑体" w:eastAsia="黑体" w:hAnsi="黑体" w:cs="黑体" w:hint="eastAsia"/>
                <w:sz w:val="24"/>
              </w:rPr>
              <w:t>评分标准</w:t>
            </w:r>
          </w:p>
        </w:tc>
        <w:tc>
          <w:tcPr>
            <w:tcW w:w="787" w:type="dxa"/>
            <w:vAlign w:val="center"/>
          </w:tcPr>
          <w:p w:rsidR="00B80B48" w:rsidRDefault="009B72E3">
            <w:pPr>
              <w:spacing w:line="400" w:lineRule="exact"/>
              <w:ind w:firstLineChars="0" w:firstLine="0"/>
              <w:jc w:val="center"/>
              <w:rPr>
                <w:rFonts w:ascii="黑体" w:eastAsia="黑体" w:hAnsi="黑体" w:cs="黑体"/>
              </w:rPr>
            </w:pPr>
            <w:r>
              <w:rPr>
                <w:rFonts w:ascii="黑体" w:eastAsia="黑体" w:hAnsi="黑体" w:cs="黑体" w:hint="eastAsia"/>
                <w:sz w:val="24"/>
              </w:rPr>
              <w:t>得分</w:t>
            </w:r>
          </w:p>
        </w:tc>
      </w:tr>
      <w:tr w:rsidR="00B80B48">
        <w:trPr>
          <w:trHeight w:val="1267"/>
          <w:jc w:val="center"/>
        </w:trPr>
        <w:tc>
          <w:tcPr>
            <w:tcW w:w="733"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1</w:t>
            </w:r>
          </w:p>
        </w:tc>
        <w:tc>
          <w:tcPr>
            <w:tcW w:w="1217" w:type="dxa"/>
            <w:vAlign w:val="center"/>
          </w:tcPr>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费用报价</w:t>
            </w:r>
            <w:r>
              <w:rPr>
                <w:rFonts w:ascii="仿宋_GB2312" w:hAnsi="仿宋_GB2312" w:cs="仿宋_GB2312" w:hint="eastAsia"/>
                <w:sz w:val="24"/>
              </w:rPr>
              <w:t xml:space="preserve">        </w:t>
            </w:r>
          </w:p>
        </w:tc>
        <w:tc>
          <w:tcPr>
            <w:tcW w:w="725"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20</w:t>
            </w:r>
          </w:p>
        </w:tc>
        <w:tc>
          <w:tcPr>
            <w:tcW w:w="5060" w:type="dxa"/>
            <w:vAlign w:val="center"/>
          </w:tcPr>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评标基准价为每家报价的算术平均值。</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年服务费</w:t>
            </w:r>
            <w:r>
              <w:rPr>
                <w:rFonts w:ascii="仿宋_GB2312" w:hAnsi="仿宋_GB2312" w:cs="仿宋_GB2312" w:hint="eastAsia"/>
                <w:sz w:val="24"/>
              </w:rPr>
              <w:t>报价计算得分</w:t>
            </w:r>
            <w:r>
              <w:rPr>
                <w:rFonts w:ascii="仿宋_GB2312" w:hAnsi="仿宋_GB2312" w:cs="仿宋_GB2312" w:hint="eastAsia"/>
                <w:sz w:val="24"/>
              </w:rPr>
              <w:t>=（</w:t>
            </w:r>
            <w:r>
              <w:rPr>
                <w:rFonts w:ascii="仿宋_GB2312" w:hAnsi="仿宋_GB2312" w:cs="仿宋_GB2312" w:hint="eastAsia"/>
                <w:sz w:val="24"/>
              </w:rPr>
              <w:t>评标基准价／投标报价</w:t>
            </w:r>
            <w:bookmarkStart w:id="0" w:name="_GoBack"/>
            <w:bookmarkEnd w:id="0"/>
            <w:r>
              <w:rPr>
                <w:rFonts w:ascii="仿宋_GB2312" w:hAnsi="仿宋_GB2312" w:cs="仿宋_GB2312" w:hint="eastAsia"/>
                <w:sz w:val="24"/>
              </w:rPr>
              <w:t>）</w:t>
            </w:r>
            <w:r>
              <w:rPr>
                <w:rFonts w:ascii="仿宋_GB2312" w:hAnsi="仿宋_GB2312" w:cs="仿宋_GB2312" w:hint="eastAsia"/>
                <w:sz w:val="24"/>
              </w:rPr>
              <w:t>×</w:t>
            </w:r>
            <w:r>
              <w:rPr>
                <w:rFonts w:ascii="仿宋_GB2312" w:hAnsi="仿宋_GB2312" w:cs="仿宋_GB2312" w:hint="eastAsia"/>
                <w:sz w:val="24"/>
              </w:rPr>
              <w:t>0.</w:t>
            </w:r>
            <w:r>
              <w:rPr>
                <w:rFonts w:ascii="仿宋_GB2312" w:hAnsi="仿宋_GB2312" w:cs="仿宋_GB2312"/>
                <w:sz w:val="24"/>
              </w:rPr>
              <w:t>2</w:t>
            </w:r>
            <w:r>
              <w:rPr>
                <w:rFonts w:ascii="仿宋_GB2312" w:hAnsi="仿宋_GB2312" w:cs="仿宋_GB2312" w:hint="eastAsia"/>
                <w:sz w:val="24"/>
              </w:rPr>
              <w:t>×</w:t>
            </w:r>
            <w:r>
              <w:rPr>
                <w:rFonts w:ascii="仿宋_GB2312" w:hAnsi="仿宋_GB2312" w:cs="仿宋_GB2312" w:hint="eastAsia"/>
                <w:sz w:val="24"/>
              </w:rPr>
              <w:t>100</w:t>
            </w:r>
            <w:r>
              <w:rPr>
                <w:rFonts w:ascii="仿宋_GB2312" w:hAnsi="仿宋_GB2312" w:cs="仿宋_GB2312" w:hint="eastAsia"/>
                <w:sz w:val="24"/>
              </w:rPr>
              <w:t>；满分</w:t>
            </w:r>
            <w:r>
              <w:rPr>
                <w:rFonts w:ascii="仿宋_GB2312" w:hAnsi="仿宋_GB2312" w:cs="仿宋_GB2312"/>
                <w:sz w:val="24"/>
              </w:rPr>
              <w:t>2</w:t>
            </w:r>
            <w:r>
              <w:rPr>
                <w:rFonts w:ascii="仿宋_GB2312" w:hAnsi="仿宋_GB2312" w:cs="仿宋_GB2312" w:hint="eastAsia"/>
                <w:sz w:val="24"/>
              </w:rPr>
              <w:t>0</w:t>
            </w:r>
            <w:r>
              <w:rPr>
                <w:rFonts w:ascii="仿宋_GB2312" w:hAnsi="仿宋_GB2312" w:cs="仿宋_GB2312" w:hint="eastAsia"/>
                <w:sz w:val="24"/>
              </w:rPr>
              <w:t>分。</w:t>
            </w:r>
          </w:p>
        </w:tc>
        <w:tc>
          <w:tcPr>
            <w:tcW w:w="787" w:type="dxa"/>
            <w:vAlign w:val="center"/>
          </w:tcPr>
          <w:p w:rsidR="00B80B48" w:rsidRDefault="00B80B48">
            <w:pPr>
              <w:spacing w:line="360" w:lineRule="exact"/>
              <w:ind w:firstLine="480"/>
              <w:rPr>
                <w:rFonts w:ascii="仿宋_GB2312" w:hAnsi="仿宋_GB2312" w:cs="仿宋_GB2312"/>
                <w:sz w:val="24"/>
              </w:rPr>
            </w:pPr>
          </w:p>
        </w:tc>
      </w:tr>
      <w:tr w:rsidR="00B80B48">
        <w:trPr>
          <w:trHeight w:val="4135"/>
          <w:jc w:val="center"/>
        </w:trPr>
        <w:tc>
          <w:tcPr>
            <w:tcW w:w="733"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2</w:t>
            </w:r>
          </w:p>
        </w:tc>
        <w:tc>
          <w:tcPr>
            <w:tcW w:w="1217" w:type="dxa"/>
            <w:vAlign w:val="center"/>
          </w:tcPr>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事务所基本情况及相关从业经验</w:t>
            </w:r>
          </w:p>
        </w:tc>
        <w:tc>
          <w:tcPr>
            <w:tcW w:w="725"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30</w:t>
            </w:r>
          </w:p>
        </w:tc>
        <w:tc>
          <w:tcPr>
            <w:tcW w:w="5060" w:type="dxa"/>
            <w:vAlign w:val="center"/>
          </w:tcPr>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 xml:space="preserve">1. </w:t>
            </w:r>
            <w:r>
              <w:rPr>
                <w:rFonts w:ascii="仿宋_GB2312" w:hAnsi="仿宋_GB2312" w:cs="仿宋_GB2312" w:hint="eastAsia"/>
                <w:sz w:val="24"/>
              </w:rPr>
              <w:t>入选安徽省人民政府国有资产管理委员会法律服务中介机构备选库，得</w:t>
            </w:r>
            <w:r>
              <w:rPr>
                <w:rFonts w:ascii="仿宋_GB2312" w:hAnsi="仿宋_GB2312" w:cs="仿宋_GB2312" w:hint="eastAsia"/>
                <w:sz w:val="24"/>
              </w:rPr>
              <w:t>5</w:t>
            </w:r>
            <w:r>
              <w:rPr>
                <w:rFonts w:ascii="仿宋_GB2312" w:hAnsi="仿宋_GB2312" w:cs="仿宋_GB2312" w:hint="eastAsia"/>
                <w:sz w:val="24"/>
              </w:rPr>
              <w:t>分；</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 xml:space="preserve">2. </w:t>
            </w:r>
            <w:r>
              <w:rPr>
                <w:rFonts w:ascii="仿宋_GB2312" w:hAnsi="仿宋_GB2312" w:cs="仿宋_GB2312" w:hint="eastAsia"/>
                <w:sz w:val="24"/>
              </w:rPr>
              <w:t>拥</w:t>
            </w:r>
            <w:r>
              <w:rPr>
                <w:rFonts w:ascii="仿宋_GB2312" w:hAnsi="仿宋_GB2312" w:cs="仿宋_GB2312" w:hint="eastAsia"/>
                <w:sz w:val="24"/>
              </w:rPr>
              <w:t>有省直单位法律咨询定点单位资格，得</w:t>
            </w:r>
            <w:r>
              <w:rPr>
                <w:rFonts w:ascii="仿宋_GB2312" w:hAnsi="仿宋_GB2312" w:cs="仿宋_GB2312" w:hint="eastAsia"/>
                <w:sz w:val="24"/>
              </w:rPr>
              <w:t>5</w:t>
            </w:r>
            <w:r>
              <w:rPr>
                <w:rFonts w:ascii="仿宋_GB2312" w:hAnsi="仿宋_GB2312" w:cs="仿宋_GB2312" w:hint="eastAsia"/>
                <w:sz w:val="24"/>
              </w:rPr>
              <w:t>分；</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 xml:space="preserve">3. </w:t>
            </w:r>
            <w:r>
              <w:rPr>
                <w:rFonts w:ascii="仿宋_GB2312" w:hAnsi="仿宋_GB2312" w:cs="仿宋_GB2312" w:hint="eastAsia"/>
                <w:sz w:val="24"/>
              </w:rPr>
              <w:t>被省属企业列入外聘律师事务所库，得</w:t>
            </w:r>
            <w:r>
              <w:rPr>
                <w:rFonts w:ascii="仿宋_GB2312" w:hAnsi="仿宋_GB2312" w:cs="仿宋_GB2312" w:hint="eastAsia"/>
                <w:sz w:val="24"/>
              </w:rPr>
              <w:t>5</w:t>
            </w:r>
            <w:r>
              <w:rPr>
                <w:rFonts w:ascii="仿宋_GB2312" w:hAnsi="仿宋_GB2312" w:cs="仿宋_GB2312" w:hint="eastAsia"/>
                <w:sz w:val="24"/>
              </w:rPr>
              <w:t>分；</w:t>
            </w:r>
            <w:r>
              <w:rPr>
                <w:rFonts w:ascii="仿宋_GB2312" w:hAnsi="仿宋_GB2312" w:cs="仿宋_GB2312" w:hint="eastAsia"/>
                <w:sz w:val="24"/>
              </w:rPr>
              <w:t xml:space="preserve"> </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 xml:space="preserve">4. </w:t>
            </w:r>
            <w:r>
              <w:rPr>
                <w:rFonts w:ascii="仿宋_GB2312" w:hAnsi="仿宋_GB2312" w:cs="仿宋_GB2312" w:hint="eastAsia"/>
                <w:sz w:val="24"/>
              </w:rPr>
              <w:t>入选安徽省综合实力五十强律师事务所，得</w:t>
            </w:r>
            <w:r>
              <w:rPr>
                <w:rFonts w:ascii="仿宋_GB2312" w:hAnsi="仿宋_GB2312" w:cs="仿宋_GB2312" w:hint="eastAsia"/>
                <w:sz w:val="24"/>
              </w:rPr>
              <w:t>5</w:t>
            </w:r>
            <w:r>
              <w:rPr>
                <w:rFonts w:ascii="仿宋_GB2312" w:hAnsi="仿宋_GB2312" w:cs="仿宋_GB2312" w:hint="eastAsia"/>
                <w:sz w:val="24"/>
              </w:rPr>
              <w:t>分</w:t>
            </w:r>
            <w:r>
              <w:rPr>
                <w:rFonts w:ascii="仿宋_GB2312" w:hAnsi="仿宋_GB2312" w:cs="仿宋_GB2312" w:hint="eastAsia"/>
                <w:sz w:val="24"/>
              </w:rPr>
              <w:t>；</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近三年入选地级市相关单位（省直单位、市直（区）单位、区属单位）的法律服务定点单位，每入选</w:t>
            </w:r>
            <w:r>
              <w:rPr>
                <w:rFonts w:ascii="仿宋_GB2312" w:hAnsi="仿宋_GB2312" w:cs="仿宋_GB2312" w:hint="eastAsia"/>
                <w:sz w:val="24"/>
              </w:rPr>
              <w:t>1</w:t>
            </w:r>
            <w:r>
              <w:rPr>
                <w:rFonts w:ascii="仿宋_GB2312" w:hAnsi="仿宋_GB2312" w:cs="仿宋_GB2312" w:hint="eastAsia"/>
                <w:sz w:val="24"/>
              </w:rPr>
              <w:t>家得</w:t>
            </w:r>
            <w:r>
              <w:rPr>
                <w:rFonts w:ascii="仿宋_GB2312" w:hAnsi="仿宋_GB2312" w:cs="仿宋_GB2312" w:hint="eastAsia"/>
                <w:sz w:val="24"/>
              </w:rPr>
              <w:t>2</w:t>
            </w:r>
            <w:r>
              <w:rPr>
                <w:rFonts w:ascii="仿宋_GB2312" w:hAnsi="仿宋_GB2312" w:cs="仿宋_GB2312" w:hint="eastAsia"/>
                <w:sz w:val="24"/>
              </w:rPr>
              <w:t>分，满分</w:t>
            </w:r>
            <w:r>
              <w:rPr>
                <w:rFonts w:ascii="仿宋_GB2312" w:hAnsi="仿宋_GB2312" w:cs="仿宋_GB2312" w:hint="eastAsia"/>
                <w:sz w:val="24"/>
              </w:rPr>
              <w:t>6</w:t>
            </w:r>
            <w:r>
              <w:rPr>
                <w:rFonts w:ascii="仿宋_GB2312" w:hAnsi="仿宋_GB2312" w:cs="仿宋_GB2312" w:hint="eastAsia"/>
                <w:sz w:val="24"/>
              </w:rPr>
              <w:t>分；</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 xml:space="preserve">6. </w:t>
            </w:r>
            <w:r>
              <w:rPr>
                <w:rFonts w:ascii="仿宋_GB2312" w:hAnsi="仿宋_GB2312" w:cs="仿宋_GB2312" w:hint="eastAsia"/>
                <w:sz w:val="24"/>
              </w:rPr>
              <w:t>有股权投资、企业并购的法律服务经验的，得</w:t>
            </w:r>
            <w:r>
              <w:rPr>
                <w:rFonts w:ascii="仿宋_GB2312" w:hAnsi="仿宋_GB2312" w:cs="仿宋_GB2312" w:hint="eastAsia"/>
                <w:sz w:val="24"/>
              </w:rPr>
              <w:t>4</w:t>
            </w:r>
            <w:r>
              <w:rPr>
                <w:rFonts w:ascii="仿宋_GB2312" w:hAnsi="仿宋_GB2312" w:cs="仿宋_GB2312" w:hint="eastAsia"/>
                <w:sz w:val="24"/>
              </w:rPr>
              <w:t>分</w:t>
            </w:r>
            <w:r>
              <w:rPr>
                <w:rFonts w:ascii="仿宋_GB2312" w:hAnsi="仿宋_GB2312" w:cs="仿宋_GB2312" w:hint="eastAsia"/>
                <w:sz w:val="24"/>
              </w:rPr>
              <w:t>。</w:t>
            </w:r>
          </w:p>
        </w:tc>
        <w:tc>
          <w:tcPr>
            <w:tcW w:w="787" w:type="dxa"/>
            <w:vAlign w:val="center"/>
          </w:tcPr>
          <w:p w:rsidR="00B80B48" w:rsidRDefault="00B80B48">
            <w:pPr>
              <w:spacing w:line="360" w:lineRule="exact"/>
              <w:ind w:firstLineChars="0" w:firstLine="0"/>
              <w:jc w:val="center"/>
              <w:rPr>
                <w:rFonts w:ascii="仿宋_GB2312" w:hAnsi="仿宋_GB2312" w:cs="仿宋_GB2312"/>
                <w:sz w:val="24"/>
              </w:rPr>
            </w:pPr>
          </w:p>
        </w:tc>
      </w:tr>
      <w:tr w:rsidR="00B80B48">
        <w:trPr>
          <w:trHeight w:val="3571"/>
          <w:jc w:val="center"/>
        </w:trPr>
        <w:tc>
          <w:tcPr>
            <w:tcW w:w="733"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3</w:t>
            </w:r>
          </w:p>
        </w:tc>
        <w:tc>
          <w:tcPr>
            <w:tcW w:w="1217"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顾问</w:t>
            </w:r>
            <w:r>
              <w:rPr>
                <w:rFonts w:ascii="仿宋_GB2312" w:hAnsi="仿宋_GB2312" w:cs="仿宋_GB2312" w:hint="eastAsia"/>
                <w:sz w:val="24"/>
              </w:rPr>
              <w:t>团队</w:t>
            </w:r>
            <w:r>
              <w:rPr>
                <w:rFonts w:ascii="仿宋_GB2312" w:hAnsi="仿宋_GB2312" w:cs="仿宋_GB2312" w:hint="eastAsia"/>
                <w:sz w:val="24"/>
              </w:rPr>
              <w:t>律师情况</w:t>
            </w:r>
          </w:p>
        </w:tc>
        <w:tc>
          <w:tcPr>
            <w:tcW w:w="725"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10</w:t>
            </w:r>
          </w:p>
        </w:tc>
        <w:tc>
          <w:tcPr>
            <w:tcW w:w="5060" w:type="dxa"/>
            <w:vAlign w:val="center"/>
          </w:tcPr>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 xml:space="preserve">1. </w:t>
            </w:r>
            <w:r>
              <w:rPr>
                <w:rFonts w:ascii="仿宋_GB2312" w:hAnsi="仿宋_GB2312" w:cs="仿宋_GB2312" w:hint="eastAsia"/>
                <w:sz w:val="24"/>
              </w:rPr>
              <w:t>顾问律师团队负责人具有中级职称律师且执业</w:t>
            </w:r>
            <w:r>
              <w:rPr>
                <w:rFonts w:ascii="仿宋_GB2312" w:hAnsi="仿宋_GB2312" w:cs="仿宋_GB2312" w:hint="eastAsia"/>
                <w:sz w:val="24"/>
              </w:rPr>
              <w:t>10</w:t>
            </w:r>
            <w:r>
              <w:rPr>
                <w:rFonts w:ascii="仿宋_GB2312" w:hAnsi="仿宋_GB2312" w:cs="仿宋_GB2312" w:hint="eastAsia"/>
                <w:sz w:val="24"/>
              </w:rPr>
              <w:t>年以上得</w:t>
            </w:r>
            <w:r>
              <w:rPr>
                <w:rFonts w:ascii="仿宋_GB2312" w:hAnsi="仿宋_GB2312" w:cs="仿宋_GB2312" w:hint="eastAsia"/>
                <w:sz w:val="24"/>
              </w:rPr>
              <w:t>4</w:t>
            </w:r>
            <w:r>
              <w:rPr>
                <w:rFonts w:ascii="仿宋_GB2312" w:hAnsi="仿宋_GB2312" w:cs="仿宋_GB2312" w:hint="eastAsia"/>
                <w:sz w:val="24"/>
              </w:rPr>
              <w:t>分；不具有中级职称但执业</w:t>
            </w:r>
            <w:r>
              <w:rPr>
                <w:rFonts w:ascii="仿宋_GB2312" w:hAnsi="仿宋_GB2312" w:cs="仿宋_GB2312" w:hint="eastAsia"/>
                <w:sz w:val="24"/>
              </w:rPr>
              <w:t>10</w:t>
            </w:r>
            <w:r>
              <w:rPr>
                <w:rFonts w:ascii="仿宋_GB2312" w:hAnsi="仿宋_GB2312" w:cs="仿宋_GB2312" w:hint="eastAsia"/>
                <w:sz w:val="24"/>
              </w:rPr>
              <w:t>年以上的得</w:t>
            </w:r>
            <w:r>
              <w:rPr>
                <w:rFonts w:ascii="仿宋_GB2312" w:hAnsi="仿宋_GB2312" w:cs="仿宋_GB2312" w:hint="eastAsia"/>
                <w:sz w:val="24"/>
              </w:rPr>
              <w:t>3</w:t>
            </w:r>
            <w:r>
              <w:rPr>
                <w:rFonts w:ascii="仿宋_GB2312" w:hAnsi="仿宋_GB2312" w:cs="仿宋_GB2312" w:hint="eastAsia"/>
                <w:sz w:val="24"/>
              </w:rPr>
              <w:t>分；不具有中级职称但执业</w:t>
            </w:r>
            <w:r>
              <w:rPr>
                <w:rFonts w:ascii="仿宋_GB2312" w:hAnsi="仿宋_GB2312" w:cs="仿宋_GB2312" w:hint="eastAsia"/>
                <w:sz w:val="24"/>
              </w:rPr>
              <w:t>5</w:t>
            </w:r>
            <w:r>
              <w:rPr>
                <w:rFonts w:ascii="仿宋_GB2312" w:hAnsi="仿宋_GB2312" w:cs="仿宋_GB2312" w:hint="eastAsia"/>
                <w:sz w:val="24"/>
              </w:rPr>
              <w:t>年以上不满</w:t>
            </w:r>
            <w:r>
              <w:rPr>
                <w:rFonts w:ascii="仿宋_GB2312" w:hAnsi="仿宋_GB2312" w:cs="仿宋_GB2312" w:hint="eastAsia"/>
                <w:sz w:val="24"/>
              </w:rPr>
              <w:t>10</w:t>
            </w:r>
            <w:r>
              <w:rPr>
                <w:rFonts w:ascii="仿宋_GB2312" w:hAnsi="仿宋_GB2312" w:cs="仿宋_GB2312" w:hint="eastAsia"/>
                <w:sz w:val="24"/>
              </w:rPr>
              <w:t>年得</w:t>
            </w:r>
            <w:r>
              <w:rPr>
                <w:rFonts w:ascii="仿宋_GB2312" w:hAnsi="仿宋_GB2312" w:cs="仿宋_GB2312" w:hint="eastAsia"/>
                <w:sz w:val="24"/>
              </w:rPr>
              <w:t>1</w:t>
            </w:r>
            <w:r>
              <w:rPr>
                <w:rFonts w:ascii="仿宋_GB2312" w:hAnsi="仿宋_GB2312" w:cs="仿宋_GB2312" w:hint="eastAsia"/>
                <w:sz w:val="24"/>
              </w:rPr>
              <w:t>分；执业</w:t>
            </w:r>
            <w:r>
              <w:rPr>
                <w:rFonts w:ascii="仿宋_GB2312" w:hAnsi="仿宋_GB2312" w:cs="仿宋_GB2312" w:hint="eastAsia"/>
                <w:sz w:val="24"/>
              </w:rPr>
              <w:t>5</w:t>
            </w:r>
            <w:r>
              <w:rPr>
                <w:rFonts w:ascii="仿宋_GB2312" w:hAnsi="仿宋_GB2312" w:cs="仿宋_GB2312" w:hint="eastAsia"/>
                <w:sz w:val="24"/>
              </w:rPr>
              <w:t>年以下本项得</w:t>
            </w:r>
            <w:r>
              <w:rPr>
                <w:rFonts w:ascii="仿宋_GB2312" w:hAnsi="仿宋_GB2312" w:cs="仿宋_GB2312" w:hint="eastAsia"/>
                <w:sz w:val="24"/>
              </w:rPr>
              <w:t>0</w:t>
            </w:r>
            <w:r>
              <w:rPr>
                <w:rFonts w:ascii="仿宋_GB2312" w:hAnsi="仿宋_GB2312" w:cs="仿宋_GB2312" w:hint="eastAsia"/>
                <w:sz w:val="24"/>
              </w:rPr>
              <w:t>分；</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顾问团队律师参与过国有企业上市工作或为上市公司提供过服务的得</w:t>
            </w:r>
            <w:r>
              <w:rPr>
                <w:rFonts w:ascii="仿宋_GB2312" w:hAnsi="仿宋_GB2312" w:cs="仿宋_GB2312" w:hint="eastAsia"/>
                <w:sz w:val="24"/>
              </w:rPr>
              <w:t>2</w:t>
            </w:r>
            <w:r>
              <w:rPr>
                <w:rFonts w:ascii="仿宋_GB2312" w:hAnsi="仿宋_GB2312" w:cs="仿宋_GB2312" w:hint="eastAsia"/>
                <w:sz w:val="24"/>
              </w:rPr>
              <w:t>分。</w:t>
            </w:r>
          </w:p>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 xml:space="preserve">3. </w:t>
            </w:r>
            <w:r>
              <w:rPr>
                <w:rFonts w:ascii="仿宋_GB2312" w:hAnsi="仿宋_GB2312" w:cs="仿宋_GB2312" w:hint="eastAsia"/>
                <w:sz w:val="24"/>
              </w:rPr>
              <w:t>近</w:t>
            </w:r>
            <w:r>
              <w:rPr>
                <w:rFonts w:ascii="仿宋_GB2312" w:hAnsi="仿宋_GB2312" w:cs="仿宋_GB2312" w:hint="eastAsia"/>
                <w:sz w:val="24"/>
              </w:rPr>
              <w:t>3</w:t>
            </w:r>
            <w:r>
              <w:rPr>
                <w:rFonts w:ascii="仿宋_GB2312" w:hAnsi="仿宋_GB2312" w:cs="仿宋_GB2312" w:hint="eastAsia"/>
                <w:sz w:val="24"/>
              </w:rPr>
              <w:t>年顾问团队律师为基金类业务提供过服务，每提供一个案例得</w:t>
            </w:r>
            <w:r>
              <w:rPr>
                <w:rFonts w:ascii="仿宋_GB2312" w:hAnsi="仿宋_GB2312" w:cs="仿宋_GB2312" w:hint="eastAsia"/>
                <w:sz w:val="24"/>
              </w:rPr>
              <w:t>2</w:t>
            </w:r>
            <w:r>
              <w:rPr>
                <w:rFonts w:ascii="仿宋_GB2312" w:hAnsi="仿宋_GB2312" w:cs="仿宋_GB2312" w:hint="eastAsia"/>
                <w:sz w:val="24"/>
              </w:rPr>
              <w:t>分，最高得</w:t>
            </w:r>
            <w:r>
              <w:rPr>
                <w:rFonts w:ascii="仿宋_GB2312" w:hAnsi="仿宋_GB2312" w:cs="仿宋_GB2312" w:hint="eastAsia"/>
                <w:sz w:val="24"/>
              </w:rPr>
              <w:t>4</w:t>
            </w:r>
            <w:r>
              <w:rPr>
                <w:rFonts w:ascii="仿宋_GB2312" w:hAnsi="仿宋_GB2312" w:cs="仿宋_GB2312" w:hint="eastAsia"/>
                <w:sz w:val="24"/>
              </w:rPr>
              <w:t>分。</w:t>
            </w:r>
            <w:r>
              <w:rPr>
                <w:rFonts w:ascii="仿宋_GB2312" w:hAnsi="仿宋_GB2312" w:cs="仿宋_GB2312" w:hint="eastAsia"/>
                <w:sz w:val="24"/>
              </w:rPr>
              <w:t>（</w:t>
            </w:r>
            <w:r>
              <w:rPr>
                <w:rFonts w:ascii="仿宋_GB2312" w:hAnsi="仿宋_GB2312" w:cs="仿宋_GB2312" w:hint="eastAsia"/>
                <w:sz w:val="24"/>
              </w:rPr>
              <w:t>参与选聘机构应注明上述案例性质</w:t>
            </w:r>
            <w:r>
              <w:rPr>
                <w:rFonts w:ascii="仿宋_GB2312" w:hAnsi="仿宋_GB2312" w:cs="仿宋_GB2312" w:hint="eastAsia"/>
                <w:sz w:val="24"/>
              </w:rPr>
              <w:t>）</w:t>
            </w:r>
          </w:p>
        </w:tc>
        <w:tc>
          <w:tcPr>
            <w:tcW w:w="787" w:type="dxa"/>
            <w:vAlign w:val="center"/>
          </w:tcPr>
          <w:p w:rsidR="00B80B48" w:rsidRDefault="00B80B48">
            <w:pPr>
              <w:spacing w:line="360" w:lineRule="exact"/>
              <w:ind w:firstLineChars="0" w:firstLine="0"/>
              <w:jc w:val="center"/>
              <w:rPr>
                <w:rFonts w:ascii="仿宋_GB2312" w:hAnsi="仿宋_GB2312" w:cs="仿宋_GB2312"/>
                <w:sz w:val="24"/>
              </w:rPr>
            </w:pPr>
          </w:p>
        </w:tc>
      </w:tr>
      <w:tr w:rsidR="00B80B48">
        <w:trPr>
          <w:trHeight w:val="1342"/>
          <w:jc w:val="center"/>
        </w:trPr>
        <w:tc>
          <w:tcPr>
            <w:tcW w:w="733"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4</w:t>
            </w:r>
          </w:p>
        </w:tc>
        <w:tc>
          <w:tcPr>
            <w:tcW w:w="1217"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法律服务方案</w:t>
            </w:r>
          </w:p>
        </w:tc>
        <w:tc>
          <w:tcPr>
            <w:tcW w:w="725" w:type="dxa"/>
            <w:vAlign w:val="center"/>
          </w:tcPr>
          <w:p w:rsidR="00B80B48" w:rsidRDefault="009B72E3">
            <w:pPr>
              <w:spacing w:line="360" w:lineRule="exact"/>
              <w:ind w:firstLineChars="0" w:firstLine="0"/>
              <w:jc w:val="center"/>
              <w:rPr>
                <w:rFonts w:ascii="仿宋_GB2312" w:hAnsi="仿宋_GB2312" w:cs="仿宋_GB2312"/>
                <w:sz w:val="24"/>
              </w:rPr>
            </w:pPr>
            <w:r>
              <w:rPr>
                <w:rFonts w:ascii="仿宋_GB2312" w:hAnsi="仿宋_GB2312" w:cs="仿宋_GB2312" w:hint="eastAsia"/>
                <w:sz w:val="24"/>
              </w:rPr>
              <w:t>40</w:t>
            </w:r>
          </w:p>
        </w:tc>
        <w:tc>
          <w:tcPr>
            <w:tcW w:w="5060" w:type="dxa"/>
            <w:vAlign w:val="center"/>
          </w:tcPr>
          <w:p w:rsidR="00B80B48" w:rsidRDefault="009B72E3">
            <w:pPr>
              <w:spacing w:line="360" w:lineRule="exact"/>
              <w:ind w:firstLineChars="0" w:firstLine="0"/>
              <w:rPr>
                <w:rFonts w:ascii="仿宋_GB2312" w:hAnsi="仿宋_GB2312" w:cs="仿宋_GB2312"/>
                <w:sz w:val="24"/>
              </w:rPr>
            </w:pPr>
            <w:r>
              <w:rPr>
                <w:rFonts w:ascii="仿宋_GB2312" w:hAnsi="仿宋_GB2312" w:cs="仿宋_GB2312" w:hint="eastAsia"/>
                <w:sz w:val="24"/>
              </w:rPr>
              <w:t>根据服务方案的全面性、及时性、合理性、科学性、</w:t>
            </w:r>
            <w:r>
              <w:rPr>
                <w:rFonts w:ascii="仿宋_GB2312" w:hAnsi="仿宋_GB2312" w:cs="仿宋_GB2312" w:hint="eastAsia"/>
                <w:sz w:val="24"/>
              </w:rPr>
              <w:t>可操作性，以及是否包括增值服务内容和服务质量的保障措施等综合评审。</w:t>
            </w:r>
          </w:p>
        </w:tc>
        <w:tc>
          <w:tcPr>
            <w:tcW w:w="787" w:type="dxa"/>
            <w:vAlign w:val="center"/>
          </w:tcPr>
          <w:p w:rsidR="00B80B48" w:rsidRDefault="00B80B48">
            <w:pPr>
              <w:spacing w:line="360" w:lineRule="exact"/>
              <w:ind w:firstLineChars="0" w:firstLine="0"/>
              <w:jc w:val="center"/>
              <w:rPr>
                <w:rFonts w:ascii="仿宋_GB2312" w:hAnsi="仿宋_GB2312" w:cs="仿宋_GB2312"/>
                <w:sz w:val="24"/>
              </w:rPr>
            </w:pPr>
          </w:p>
        </w:tc>
      </w:tr>
    </w:tbl>
    <w:p w:rsidR="00B80B48" w:rsidRDefault="00B80B48">
      <w:pPr>
        <w:ind w:firstLine="640"/>
      </w:pPr>
    </w:p>
    <w:sectPr w:rsidR="00B80B48">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9B72E3"/>
    <w:rsid w:val="00B80B48"/>
    <w:rsid w:val="03260AAC"/>
    <w:rsid w:val="047F0AAE"/>
    <w:rsid w:val="0514152F"/>
    <w:rsid w:val="0C0D3400"/>
    <w:rsid w:val="15427B15"/>
    <w:rsid w:val="16245294"/>
    <w:rsid w:val="197F1E5F"/>
    <w:rsid w:val="1FF65B1F"/>
    <w:rsid w:val="279E4458"/>
    <w:rsid w:val="2BF2538A"/>
    <w:rsid w:val="2C81338A"/>
    <w:rsid w:val="2E1E3712"/>
    <w:rsid w:val="325536B0"/>
    <w:rsid w:val="3547663F"/>
    <w:rsid w:val="3922747B"/>
    <w:rsid w:val="3CEC4FE4"/>
    <w:rsid w:val="3FA71609"/>
    <w:rsid w:val="44BE6871"/>
    <w:rsid w:val="46B81A1F"/>
    <w:rsid w:val="480B6BB0"/>
    <w:rsid w:val="48FC2E5B"/>
    <w:rsid w:val="491B133A"/>
    <w:rsid w:val="4B4311A3"/>
    <w:rsid w:val="4B7A0E96"/>
    <w:rsid w:val="4F3704D4"/>
    <w:rsid w:val="519735C9"/>
    <w:rsid w:val="51C64649"/>
    <w:rsid w:val="59447A9C"/>
    <w:rsid w:val="5A051A5C"/>
    <w:rsid w:val="5AFC15B5"/>
    <w:rsid w:val="5ED911B1"/>
    <w:rsid w:val="5F246CCC"/>
    <w:rsid w:val="6202535D"/>
    <w:rsid w:val="65762378"/>
    <w:rsid w:val="6C2B5600"/>
    <w:rsid w:val="72CC7CFD"/>
    <w:rsid w:val="7D5800EC"/>
    <w:rsid w:val="7EBD6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0F3F4"/>
  <w15:docId w15:val="{64E9AB94-EBC0-4032-B6F7-69B7B4D9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spacing w:line="579" w:lineRule="exact"/>
      <w:ind w:firstLineChars="200" w:firstLine="1340"/>
      <w:jc w:val="both"/>
    </w:pPr>
    <w:rPr>
      <w:rFonts w:eastAsia="仿宋_GB2312"/>
      <w:kern w:val="2"/>
      <w:sz w:val="32"/>
      <w:szCs w:val="24"/>
    </w:rPr>
  </w:style>
  <w:style w:type="paragraph" w:styleId="1">
    <w:name w:val="heading 1"/>
    <w:basedOn w:val="a"/>
    <w:next w:val="a"/>
    <w:qFormat/>
    <w:pPr>
      <w:keepNext/>
      <w:keepLines/>
      <w:ind w:firstLine="880"/>
      <w:outlineLvl w:val="0"/>
    </w:pPr>
    <w:rPr>
      <w:rFonts w:eastAsia="黑体"/>
      <w:bCs/>
      <w:kern w:val="44"/>
      <w:szCs w:val="44"/>
    </w:rPr>
  </w:style>
  <w:style w:type="paragraph" w:styleId="20">
    <w:name w:val="heading 2"/>
    <w:basedOn w:val="a"/>
    <w:next w:val="a"/>
    <w:semiHidden/>
    <w:unhideWhenUsed/>
    <w:qFormat/>
    <w:pPr>
      <w:keepNext/>
      <w:keepLines/>
      <w:ind w:firstLine="880"/>
      <w:jc w:val="left"/>
      <w:outlineLvl w:val="1"/>
    </w:pPr>
    <w:rPr>
      <w:rFonts w:eastAsia="楷体"/>
      <w:szCs w:val="32"/>
    </w:rPr>
  </w:style>
  <w:style w:type="paragraph" w:styleId="3">
    <w:name w:val="heading 3"/>
    <w:basedOn w:val="a"/>
    <w:next w:val="a"/>
    <w:semiHidden/>
    <w:unhideWhenUsed/>
    <w:qFormat/>
    <w:pPr>
      <w:keepNext/>
      <w:keepLines/>
      <w:ind w:firstLine="420"/>
      <w:outlineLvl w:val="2"/>
    </w:pPr>
    <w:rPr>
      <w:szCs w:val="32"/>
    </w:rPr>
  </w:style>
  <w:style w:type="paragraph" w:styleId="4">
    <w:name w:val="heading 4"/>
    <w:basedOn w:val="a"/>
    <w:next w:val="a"/>
    <w:semiHidden/>
    <w:unhideWhenUsed/>
    <w:qFormat/>
    <w:pPr>
      <w:keepNext/>
      <w:keepLines/>
      <w:ind w:firstLine="420"/>
      <w:outlineLvl w:val="3"/>
    </w:pPr>
    <w:rPr>
      <w:rFonts w:eastAsia="方正小标宋简体"/>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文头"/>
    <w:basedOn w:val="a"/>
    <w:qFormat/>
    <w:pPr>
      <w:jc w:val="center"/>
    </w:pPr>
    <w:rPr>
      <w:rFonts w:eastAsia="方正小标宋简体"/>
      <w:sz w:val="44"/>
      <w:szCs w:val="44"/>
    </w:rPr>
  </w:style>
  <w:style w:type="paragraph" w:customStyle="1" w:styleId="a5">
    <w:name w:val="附件"/>
    <w:basedOn w:val="a"/>
    <w:qFormat/>
    <w:rPr>
      <w:rFonts w:eastAsia="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513</Characters>
  <Application>Microsoft Office Word</Application>
  <DocSecurity>0</DocSecurity>
  <Lines>4</Lines>
  <Paragraphs>1</Paragraphs>
  <ScaleCrop>false</ScaleCrop>
  <Company>Kingsoft</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蔡天行</dc:creator>
  <cp:lastModifiedBy>Mason Chua</cp:lastModifiedBy>
  <cp:revision>2</cp:revision>
  <cp:lastPrinted>2022-05-19T09:26:00Z</cp:lastPrinted>
  <dcterms:created xsi:type="dcterms:W3CDTF">2021-07-26T01:41:00Z</dcterms:created>
  <dcterms:modified xsi:type="dcterms:W3CDTF">2022-05-23T04:27:00Z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