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ind w:left="0" w:leftChars="0" w:firstLine="0" w:firstLineChars="0"/>
        <w:jc w:val="center"/>
        <w:rPr>
          <w:rFonts w:hint="eastAsia"/>
        </w:rPr>
      </w:pPr>
      <w:r>
        <w:rPr>
          <w:rFonts w:hint="eastAsia"/>
          <w:lang w:val="en-US" w:eastAsia="zh-CN"/>
        </w:rPr>
        <w:t>法律顾问</w:t>
      </w:r>
      <w:bookmarkStart w:id="0" w:name="_GoBack"/>
      <w:bookmarkEnd w:id="0"/>
      <w:r>
        <w:rPr>
          <w:rFonts w:hint="eastAsia"/>
          <w:lang w:val="en-US" w:eastAsia="zh-CN"/>
        </w:rPr>
        <w:t>服务采购</w:t>
      </w:r>
      <w:r>
        <w:rPr>
          <w:rFonts w:hint="eastAsia"/>
        </w:rPr>
        <w:t>评分细则</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17"/>
        <w:gridCol w:w="725"/>
        <w:gridCol w:w="506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b w:val="0"/>
                <w:bCs w:val="0"/>
                <w:vertAlign w:val="baseline"/>
                <w:lang w:val="en-US" w:eastAsia="zh-CN"/>
              </w:rPr>
            </w:pPr>
            <w:r>
              <w:rPr>
                <w:rFonts w:hint="eastAsia" w:ascii="黑体" w:hAnsi="黑体" w:eastAsia="黑体" w:cs="黑体"/>
                <w:b w:val="0"/>
                <w:bCs w:val="0"/>
                <w:sz w:val="24"/>
                <w:szCs w:val="24"/>
              </w:rPr>
              <w:t>序号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b w:val="0"/>
                <w:bCs w:val="0"/>
                <w:vertAlign w:val="baseline"/>
                <w:lang w:val="en-US" w:eastAsia="zh-CN"/>
              </w:rPr>
            </w:pPr>
            <w:r>
              <w:rPr>
                <w:rFonts w:hint="eastAsia" w:ascii="黑体" w:hAnsi="黑体" w:eastAsia="黑体" w:cs="黑体"/>
                <w:b w:val="0"/>
                <w:bCs w:val="0"/>
                <w:sz w:val="24"/>
                <w:szCs w:val="24"/>
              </w:rPr>
              <w:t>评分内容</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b w:val="0"/>
                <w:bCs w:val="0"/>
                <w:vertAlign w:val="baseline"/>
                <w:lang w:val="en-US" w:eastAsia="zh-CN"/>
              </w:rPr>
            </w:pPr>
            <w:r>
              <w:rPr>
                <w:rFonts w:hint="eastAsia" w:ascii="黑体" w:hAnsi="黑体" w:eastAsia="黑体" w:cs="黑体"/>
                <w:b w:val="0"/>
                <w:bCs w:val="0"/>
                <w:sz w:val="24"/>
                <w:szCs w:val="24"/>
              </w:rPr>
              <w:t>分值</w:t>
            </w:r>
          </w:p>
        </w:tc>
        <w:tc>
          <w:tcPr>
            <w:tcW w:w="50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b w:val="0"/>
                <w:bCs w:val="0"/>
                <w:vertAlign w:val="baseline"/>
                <w:lang w:val="en-US" w:eastAsia="zh-CN"/>
              </w:rPr>
            </w:pPr>
            <w:r>
              <w:rPr>
                <w:rFonts w:hint="eastAsia" w:ascii="黑体" w:hAnsi="黑体" w:eastAsia="黑体" w:cs="黑体"/>
                <w:b w:val="0"/>
                <w:bCs w:val="0"/>
                <w:sz w:val="24"/>
                <w:szCs w:val="24"/>
              </w:rPr>
              <w:t>评分标准</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b w:val="0"/>
                <w:bCs w:val="0"/>
                <w:vertAlign w:val="baseline"/>
                <w:lang w:val="en-US" w:eastAsia="zh-CN"/>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7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费用报价</w:t>
            </w:r>
            <w:r>
              <w:rPr>
                <w:rFonts w:hint="eastAsia" w:ascii="仿宋_GB2312" w:hAnsi="仿宋_GB2312" w:eastAsia="仿宋_GB2312" w:cs="仿宋_GB2312"/>
                <w:sz w:val="24"/>
                <w:szCs w:val="24"/>
                <w:lang w:val="en-US" w:eastAsia="zh-CN"/>
              </w:rPr>
              <w:t xml:space="preserve">        </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50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评标基准价为每家报价的算术平均值。</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年服务费</w:t>
            </w:r>
            <w:r>
              <w:rPr>
                <w:rFonts w:hint="eastAsia" w:ascii="仿宋_GB2312" w:hAnsi="仿宋_GB2312" w:eastAsia="仿宋_GB2312" w:cs="仿宋_GB2312"/>
                <w:sz w:val="24"/>
                <w:szCs w:val="24"/>
              </w:rPr>
              <w:t>报价计算得分=(评标基准价／投标报价)×0.</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×100；满分</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分。</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5" w:hRule="atLeast"/>
          <w:jc w:val="center"/>
        </w:trPr>
        <w:tc>
          <w:tcPr>
            <w:tcW w:w="7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事务所基本情况及相关从业经验</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50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入选安徽省人民政府国有资产管理委员会法律服务中介机构备选库，得5分；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2. 拥</w:t>
            </w:r>
            <w:r>
              <w:rPr>
                <w:rFonts w:hint="eastAsia" w:ascii="仿宋_GB2312" w:hAnsi="仿宋_GB2312" w:eastAsia="仿宋_GB2312" w:cs="仿宋_GB2312"/>
                <w:color w:val="auto"/>
                <w:sz w:val="24"/>
                <w:szCs w:val="24"/>
              </w:rPr>
              <w:t>有省直单位法律咨询定点单位资格，得5分；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3. 被省属企业列入外聘律师事务所库，得5分； </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 入选安徽省综合实力五十强律师事务所，得5</w:t>
            </w:r>
            <w:r>
              <w:rPr>
                <w:rFonts w:hint="eastAsia" w:ascii="仿宋_GB2312" w:hAnsi="仿宋_GB2312" w:eastAsia="仿宋_GB2312" w:cs="仿宋_GB2312"/>
                <w:color w:val="auto"/>
                <w:sz w:val="24"/>
                <w:szCs w:val="24"/>
                <w:lang w:val="en-US" w:eastAsia="zh-CN"/>
              </w:rPr>
              <w:t>分</w:t>
            </w:r>
            <w:r>
              <w:rPr>
                <w:rFonts w:hint="eastAsia" w:ascii="仿宋_GB2312" w:hAnsi="仿宋_GB2312" w:eastAsia="仿宋_GB2312" w:cs="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5.近三年入选地级市相关单位（省直单位、市直（区）单位、区属单位）的法律服务定点单位，每入选1家得2分，满分6分；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rPr>
              <w:t>6. 有股权投资、企业并购的法律服务经验的，得4分</w:t>
            </w:r>
            <w:r>
              <w:rPr>
                <w:rFonts w:hint="eastAsia" w:ascii="仿宋_GB2312" w:hAnsi="仿宋_GB2312" w:cs="仿宋_GB2312"/>
                <w:color w:val="auto"/>
                <w:sz w:val="24"/>
                <w:szCs w:val="24"/>
                <w:lang w:eastAsia="zh-CN"/>
              </w:rPr>
              <w:t>。</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1" w:hRule="atLeast"/>
          <w:jc w:val="center"/>
        </w:trPr>
        <w:tc>
          <w:tcPr>
            <w:tcW w:w="7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顾问</w:t>
            </w:r>
            <w:r>
              <w:rPr>
                <w:rFonts w:hint="eastAsia" w:ascii="仿宋_GB2312" w:hAnsi="仿宋_GB2312" w:eastAsia="仿宋_GB2312" w:cs="仿宋_GB2312"/>
                <w:sz w:val="24"/>
                <w:szCs w:val="24"/>
                <w:lang w:val="en-US" w:eastAsia="zh-CN"/>
              </w:rPr>
              <w:t>团队</w:t>
            </w:r>
            <w:r>
              <w:rPr>
                <w:rFonts w:hint="eastAsia" w:ascii="仿宋_GB2312" w:hAnsi="仿宋_GB2312" w:eastAsia="仿宋_GB2312" w:cs="仿宋_GB2312"/>
                <w:sz w:val="24"/>
                <w:szCs w:val="24"/>
              </w:rPr>
              <w:t>律师情况</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50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顾问律师团队负责人具有中级职称律师且执业10年以上得4分；不具有中级职称但执业10年以上的得3分；不具有中级职称但执业5年以上不满10年得1分；执业5年以下本项得0分；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2.顾问团队律师参与过国有企业上市工作或为上市公司提供过服务的得2分。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 近3年顾问团队律师为基金类业务提供过服务，每提供一个案例得2分，最高得4分。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参与选聘机构应注明上述案例性质</w:t>
            </w:r>
            <w:r>
              <w:rPr>
                <w:rFonts w:hint="eastAsia" w:ascii="仿宋_GB2312" w:hAnsi="仿宋_GB2312" w:eastAsia="仿宋_GB2312" w:cs="仿宋_GB2312"/>
                <w:sz w:val="24"/>
                <w:szCs w:val="24"/>
                <w:lang w:eastAsia="zh-CN"/>
              </w:rPr>
              <w:t>）</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jc w:val="center"/>
        </w:trPr>
        <w:tc>
          <w:tcPr>
            <w:tcW w:w="73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法律服务方案</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40</w:t>
            </w:r>
          </w:p>
        </w:tc>
        <w:tc>
          <w:tcPr>
            <w:tcW w:w="50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rPr>
              <w:t>根据服务方案的全面性、及时性、合理性、科学性、</w:t>
            </w:r>
            <w:r>
              <w:rPr>
                <w:rFonts w:hint="eastAsia" w:ascii="仿宋_GB2312" w:hAnsi="仿宋_GB2312" w:eastAsia="仿宋_GB2312" w:cs="仿宋_GB2312"/>
                <w:sz w:val="24"/>
                <w:szCs w:val="24"/>
              </w:rPr>
              <w:t>可操作性，以及是否包括增值服务内容和服务质量的保障措施等综合评审。</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p>
        </w:tc>
      </w:tr>
    </w:tbl>
    <w:p>
      <w:pPr>
        <w:bidi w:val="0"/>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260AAC"/>
    <w:rsid w:val="047F0AAE"/>
    <w:rsid w:val="0514152F"/>
    <w:rsid w:val="0C0D3400"/>
    <w:rsid w:val="15427B15"/>
    <w:rsid w:val="16245294"/>
    <w:rsid w:val="197F1E5F"/>
    <w:rsid w:val="1FF65B1F"/>
    <w:rsid w:val="279E4458"/>
    <w:rsid w:val="2BF2538A"/>
    <w:rsid w:val="2C81338A"/>
    <w:rsid w:val="2E1E3712"/>
    <w:rsid w:val="325536B0"/>
    <w:rsid w:val="3547663F"/>
    <w:rsid w:val="3922747B"/>
    <w:rsid w:val="3CEC4FE4"/>
    <w:rsid w:val="3FA71609"/>
    <w:rsid w:val="44BE6871"/>
    <w:rsid w:val="46B81A1F"/>
    <w:rsid w:val="480B6BB0"/>
    <w:rsid w:val="48FC2E5B"/>
    <w:rsid w:val="491B133A"/>
    <w:rsid w:val="4B4311A3"/>
    <w:rsid w:val="4B7A0E96"/>
    <w:rsid w:val="4F3704D4"/>
    <w:rsid w:val="519735C9"/>
    <w:rsid w:val="51C64649"/>
    <w:rsid w:val="59447A9C"/>
    <w:rsid w:val="5A051A5C"/>
    <w:rsid w:val="5AFC15B5"/>
    <w:rsid w:val="5ED911B1"/>
    <w:rsid w:val="5F246CCC"/>
    <w:rsid w:val="6202535D"/>
    <w:rsid w:val="65762378"/>
    <w:rsid w:val="6C2B5600"/>
    <w:rsid w:val="72CC7CFD"/>
    <w:rsid w:val="7D5800EC"/>
    <w:rsid w:val="7EBD6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13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line="579" w:lineRule="exact"/>
      <w:ind w:firstLine="880" w:firstLineChars="200"/>
      <w:outlineLvl w:val="0"/>
    </w:pPr>
    <w:rPr>
      <w:rFonts w:ascii="Times New Roman" w:hAnsi="Times New Roman" w:eastAsia="黑体"/>
      <w:bCs/>
      <w:kern w:val="44"/>
      <w:szCs w:val="44"/>
    </w:rPr>
  </w:style>
  <w:style w:type="paragraph" w:styleId="4">
    <w:name w:val="heading 2"/>
    <w:basedOn w:val="1"/>
    <w:next w:val="1"/>
    <w:semiHidden/>
    <w:unhideWhenUsed/>
    <w:qFormat/>
    <w:uiPriority w:val="0"/>
    <w:pPr>
      <w:keepNext/>
      <w:keepLines/>
      <w:spacing w:line="579" w:lineRule="exact"/>
      <w:ind w:firstLine="880" w:firstLineChars="200"/>
      <w:jc w:val="left"/>
      <w:outlineLvl w:val="1"/>
    </w:pPr>
    <w:rPr>
      <w:rFonts w:ascii="Times New Roman" w:hAnsi="Times New Roman" w:eastAsia="楷体" w:cs="Times New Roman"/>
      <w:szCs w:val="32"/>
    </w:rPr>
  </w:style>
  <w:style w:type="paragraph" w:styleId="5">
    <w:name w:val="heading 3"/>
    <w:basedOn w:val="1"/>
    <w:next w:val="1"/>
    <w:semiHidden/>
    <w:unhideWhenUsed/>
    <w:qFormat/>
    <w:uiPriority w:val="0"/>
    <w:pPr>
      <w:keepNext/>
      <w:keepLines/>
      <w:spacing w:beforeLines="0" w:beforeAutospacing="0" w:afterLines="0" w:afterAutospacing="0" w:line="579" w:lineRule="exact"/>
      <w:ind w:firstLine="420" w:firstLineChars="200"/>
      <w:outlineLvl w:val="2"/>
    </w:pPr>
    <w:rPr>
      <w:rFonts w:ascii="Times New Roman" w:hAnsi="Times New Roman"/>
      <w:szCs w:val="32"/>
    </w:rPr>
  </w:style>
  <w:style w:type="paragraph" w:styleId="6">
    <w:name w:val="heading 4"/>
    <w:basedOn w:val="1"/>
    <w:next w:val="1"/>
    <w:semiHidden/>
    <w:unhideWhenUsed/>
    <w:qFormat/>
    <w:uiPriority w:val="0"/>
    <w:pPr>
      <w:keepNext/>
      <w:keepLines/>
      <w:spacing w:beforeLines="0" w:beforeAutospacing="0" w:afterLines="0" w:afterAutospacing="0" w:line="579" w:lineRule="exact"/>
      <w:ind w:firstLine="420" w:firstLineChars="200"/>
      <w:outlineLvl w:val="3"/>
    </w:pPr>
    <w:rPr>
      <w:rFonts w:ascii="Times New Roman" w:hAnsi="Times New Roman" w:eastAsia="方正小标宋简体"/>
      <w:sz w:val="44"/>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Lines="0" w:afterAutospacing="0" w:line="579" w:lineRule="exact"/>
      <w:ind w:left="0" w:leftChars="0"/>
    </w:p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文头"/>
    <w:basedOn w:val="1"/>
    <w:qFormat/>
    <w:uiPriority w:val="0"/>
    <w:pPr>
      <w:spacing w:line="579" w:lineRule="exact"/>
      <w:jc w:val="center"/>
    </w:pPr>
    <w:rPr>
      <w:rFonts w:ascii="Times New Roman" w:hAnsi="Times New Roman" w:eastAsia="方正小标宋简体"/>
      <w:sz w:val="44"/>
      <w:szCs w:val="44"/>
    </w:rPr>
  </w:style>
  <w:style w:type="paragraph" w:customStyle="1" w:styleId="11">
    <w:name w:val="附件"/>
    <w:basedOn w:val="1"/>
    <w:qFormat/>
    <w:uiPriority w:val="0"/>
    <w:rPr>
      <w:rFonts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2021-07-26T01:41:00Z</dcterms:created>
  <dc:creator>蔡天行</dc:creator>
  <cp:lastModifiedBy>蔡天行</cp:lastModifiedBy>
  <cp:lastPrinted>2022-05-19T09:26:12Z</cp:lastPrinted>
  <dcterms:modified xsi:type="dcterms:W3CDTF">2022-05-19T09:26:16Z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