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法律顾问服务采购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评分细则</w:t>
      </w:r>
    </w:p>
    <w:p>
      <w:pPr>
        <w:spacing w:line="500" w:lineRule="exact"/>
        <w:ind w:firstLine="660" w:firstLineChars="1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709"/>
        <w:gridCol w:w="373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序号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评分内容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分值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评分标准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费用报价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年服务费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评标基准价为每家报价的算术平均值。报价计算得分=(评标基准价／投标报价)×0.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×100；满分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0分。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事务所基本情况及相关从业经验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（1）执业律师100人以上计5分，50人以上的计3分，20人以上计1分，少于20人的不得分。</w:t>
            </w:r>
          </w:p>
        </w:tc>
        <w:tc>
          <w:tcPr>
            <w:tcW w:w="170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732" w:type="dxa"/>
            <w:noWrap w:val="0"/>
            <w:vAlign w:val="top"/>
          </w:tcPr>
          <w:p>
            <w:pPr>
              <w:spacing w:line="50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（2）经年度审计报告或者会计报表反映的业绩，5000万以上的得5分，2000万以上的得3分，1000万元以上的得1分，低于1000万元的不得分。</w:t>
            </w: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顾问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律师情况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（1）顾问律师团队负责人具有高级律师职称且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执业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年以上得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分，不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具有高级职称但执业10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以上的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得3分，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既不具有高级职称又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不满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年得1分。</w:t>
            </w:r>
          </w:p>
        </w:tc>
        <w:tc>
          <w:tcPr>
            <w:tcW w:w="170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（2）近3年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顾问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律师参与过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国有企业改革改制工作的，每提供一个案例得2分，最高得8分。</w:t>
            </w: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</w:pPr>
          </w:p>
        </w:tc>
        <w:tc>
          <w:tcPr>
            <w:tcW w:w="3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（3）近3年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顾问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律师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参与过国有企业上市工作或为上市公司提供过服务的，每提供一个案例得2分，最高得8分。</w:t>
            </w: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3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（4）近3年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顾问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律师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为基金类业务提供过服务的，每提供一个案例得2分，最高得8分。</w:t>
            </w: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法律服务方案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0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根据服务方案的全面性、合理性、可操作性，以及是否包括增值服务内容和服务质量的保障措施等综合评审，好：21-30分，一般11-20分，差0-10分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总计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100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spacing w:line="50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33F43"/>
    <w:rsid w:val="00526239"/>
    <w:rsid w:val="010D3304"/>
    <w:rsid w:val="02BD1E71"/>
    <w:rsid w:val="06833F43"/>
    <w:rsid w:val="0B592A31"/>
    <w:rsid w:val="0C467E80"/>
    <w:rsid w:val="0DCE0C09"/>
    <w:rsid w:val="10864F7E"/>
    <w:rsid w:val="146020F6"/>
    <w:rsid w:val="14F51E24"/>
    <w:rsid w:val="1A346534"/>
    <w:rsid w:val="1D0109F7"/>
    <w:rsid w:val="2117003B"/>
    <w:rsid w:val="21F77FD1"/>
    <w:rsid w:val="23850861"/>
    <w:rsid w:val="26EA27E4"/>
    <w:rsid w:val="2D8F2BB5"/>
    <w:rsid w:val="2DD3142F"/>
    <w:rsid w:val="31B7272B"/>
    <w:rsid w:val="33244634"/>
    <w:rsid w:val="34064CE1"/>
    <w:rsid w:val="36FF2420"/>
    <w:rsid w:val="3B7B583C"/>
    <w:rsid w:val="41006934"/>
    <w:rsid w:val="446305E6"/>
    <w:rsid w:val="45414A05"/>
    <w:rsid w:val="470B5B08"/>
    <w:rsid w:val="49930BCA"/>
    <w:rsid w:val="529D241D"/>
    <w:rsid w:val="5B1D296B"/>
    <w:rsid w:val="5D181544"/>
    <w:rsid w:val="5D4B0C65"/>
    <w:rsid w:val="5D66600E"/>
    <w:rsid w:val="703C2EE9"/>
    <w:rsid w:val="76D65F8E"/>
    <w:rsid w:val="78480181"/>
    <w:rsid w:val="78BF03CF"/>
    <w:rsid w:val="78CC73C4"/>
    <w:rsid w:val="7B7250F4"/>
    <w:rsid w:val="7F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50" w:beforeLines="150" w:beforeAutospacing="0" w:after="200" w:afterLines="0" w:afterAutospacing="0" w:line="520" w:lineRule="exact"/>
      <w:jc w:val="center"/>
      <w:outlineLvl w:val="0"/>
    </w:pPr>
    <w:rPr>
      <w:rFonts w:eastAsia="黑体" w:cs="Times New Roman" w:asciiTheme="minorAscii" w:hAnsiTheme="minorAscii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ind w:firstLine="720" w:firstLineChars="200"/>
      <w:jc w:val="both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0" w:beforeLines="0" w:beforeAutospacing="0" w:after="200" w:afterLines="0" w:afterAutospacing="0" w:line="520" w:lineRule="exact"/>
      <w:ind w:firstLine="720" w:firstLineChars="200"/>
      <w:outlineLvl w:val="2"/>
    </w:pPr>
    <w:rPr>
      <w:rFonts w:eastAsia="黑体" w:asciiTheme="minorAscii" w:hAnsiTheme="minorAscii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2019-05-05T10:02:00Z</dcterms:created>
  <dc:creator>杨天鸣～小叮当</dc:creator>
  <cp:lastModifiedBy>W</cp:lastModifiedBy>
  <cp:lastPrinted>2021-05-17T02:54:00Z</cp:lastPrinted>
  <dcterms:modified xsi:type="dcterms:W3CDTF">2021-05-17T09:03:07Z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