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538"/>
        <w:gridCol w:w="5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2"/>
              </w:rPr>
              <w:t>办公空间绿植租赁及绿色产品设计维护供应商选聘项目评审表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  <w:t>评分项目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  <w:t>满分分值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1"/>
              </w:rPr>
              <w:t>企业综合实力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根据企业规模、注册资金等综合评分，好：7-10分；一般：4-6分；差：0-3分。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企业资质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1.企业具有城市园林绿化二级资质的，得3分；具有一级资质的，得5分。                                                                2.企业具有建筑装修装饰工程专业承包二级资质的，得得3分；具有一级资质的，得5分。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业  绩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15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参选人每提供一个2017年1月1日以来政府、事业单位或大型国有企业办公空间绿化设计业绩证明的，得5分；满分15分。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拟派项目人员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1.拟任项目负责人具备建造师资质的，得2分。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2.拟派项目人员具备花卉工资质的，每有1人得1分，满分4分。                                                                                                                                 3.拟派项目人员具备绿化工资质的，每有1人得1分，满分4分。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绿化设计方案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15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1.根据各设计方案室外景观的美观性、乔木、景观小品的配置、适用性等进行综合评审，好：8-10分，一般：4-7分，差：0-3分。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2.根据各参选方案办公区域盆栽摆放位置及美观性、合理性、适用性等进行综合评审，好：4-5分，一般：2-3分，差：0-1分。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主要施工方案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与维护保养方案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根据施工技术方案、种植方案和工程的重难点分析及保证措施、维护保养方案，工艺先进性、方法科学合理性、可行性等综合评审，好：7-10分，一般：4-6分，差：0-3分。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服务价格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</w:rPr>
              <w:t>30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评标基准价为每家报价的算术平均值。报价计算得分=(评标基准价／投标报价)×0.3×100；满分30分。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1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1"/>
              </w:rPr>
              <w:t>分数合计：</w:t>
            </w:r>
          </w:p>
        </w:tc>
        <w:tc>
          <w:tcPr>
            <w:tcW w:w="2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  <w:t>10</w:t>
            </w:r>
            <w:bookmarkStart w:id="0" w:name="_GoBack"/>
            <w:bookmarkEnd w:id="0"/>
            <w:r>
              <w:rPr>
                <w:rFonts w:hint="eastAsia" w:ascii="Times New Roman" w:hAnsi="Times New Roman" w:eastAsia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5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Times New Roman" w:hAnsi="Times New Roman" w:eastAsia="Times New Roman"/>
                <w:b/>
                <w:color w:val="000000"/>
                <w:sz w:val="15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3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2020-11-26T03:21:00Z</dcterms:created>
  <dc:creator>张薇</dc:creator>
  <cp:lastModifiedBy>张薇</cp:lastModifiedBy>
  <dcterms:modified xsi:type="dcterms:W3CDTF">2020-11-26T03:22:51Z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