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6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7"/>
        <w:gridCol w:w="2564"/>
        <w:gridCol w:w="500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资产评估中介机构选聘评分表（二次）</w:t>
            </w:r>
            <w:bookmarkEnd w:id="0"/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评分项目</w:t>
            </w:r>
          </w:p>
        </w:tc>
        <w:tc>
          <w:tcPr>
            <w:tcW w:w="2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满分分值</w:t>
            </w:r>
          </w:p>
        </w:tc>
        <w:tc>
          <w:tcPr>
            <w:tcW w:w="5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评分标准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bdr w:val="none" w:color="auto" w:sz="0" w:space="0"/>
                <w:lang w:val="en-US" w:eastAsia="zh-CN" w:bidi="ar"/>
              </w:rPr>
              <w:t>企业综合实力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根据企业规模、注册资金、员工数量等综合评分，好：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7-10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分；一般：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4-6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分；差：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0-3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分。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业绩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投标人近三年每有一个类似项目业绩的，得5分；满分10分。无类似业绩的不得分。提供相关证明文件。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评估方案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根据评估思路、评估方法等综合评分，好：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11-15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分；一般：6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-10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分；差：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0-5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参选人承诺在成交之日起20个自然日内完成现场工作并出具评估报告初稿的，得5分，否则不得分。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项目经理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项目经理具有3年以上工作经验得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分，每增加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年工作经验得1分，满分4分；项目经理每从事过一个类似项目得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分，满分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6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分。项目经理无相关经验的不得分。提供相关证明文件。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注册评估师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项目团队里每有1名注册评估师得2分，满分6分。无注册评估师的不得分。提供相关证明文件。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助理人员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项目团队里有1名助理人员得1分，每增加1名得1分，满分4分。无助理人员的不得分。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</w:trPr>
        <w:tc>
          <w:tcPr>
            <w:tcW w:w="1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服务价格</w:t>
            </w:r>
          </w:p>
        </w:tc>
        <w:tc>
          <w:tcPr>
            <w:tcW w:w="2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评标基准价为每家报价的算术平均值。报价计算得分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=(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评标基准价／投标报价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)×0.4×100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；满分4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0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分数合计：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D5B88"/>
    <w:rsid w:val="638D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5">
    <w:name w:val="font81"/>
    <w:basedOn w:val="2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6">
    <w:name w:val="font131"/>
    <w:basedOn w:val="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2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">
    <w:name w:val="font71"/>
    <w:basedOn w:val="2"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2020-10-27T01:36:00Z</dcterms:created>
  <dc:creator>张薇</dc:creator>
  <cp:lastModifiedBy>张薇</cp:lastModifiedBy>
  <dcterms:modified xsi:type="dcterms:W3CDTF">2020-10-27T01:36:40Z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